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900"/>
      </w:pPr>
    </w:p>
    <w:p>
      <w:pPr>
        <w:spacing w:after="40"/>
        <w:jc w:val="center"/>
      </w:pPr>
      <w:r>
        <w:rPr>
          <w:rFonts w:ascii="Calibri" w:cs="Calibri" w:eastAsia="Calibri" w:hAnsi="Calibri"/>
          <w:b/>
          <w:bCs/>
          <w:color w:val="0F3460"/>
          <w:sz w:val="96"/>
          <w:szCs w:val="96"/>
        </w:rPr>
        <w:t xml:space="preserve">SamAI</w:t>
      </w:r>
    </w:p>
    <w:p>
      <w:pPr>
        <w:pBdr>
          <w:bottom w:val="single" w:color="8ECAE6" w:sz="18" w:space="8"/>
        </w:pBdr>
        <w:spacing w:after="60"/>
        <w:jc w:val="center"/>
      </w:pPr>
      <w:r>
        <w:rPr>
          <w:rFonts w:ascii="Calibri" w:cs="Calibri" w:eastAsia="Calibri" w:hAnsi="Calibri"/>
          <w:caps/>
          <w:color w:val="1B4F72"/>
          <w:sz w:val="30"/>
          <w:szCs w:val="30"/>
        </w:rPr>
        <w:t xml:space="preserve">Qatar Aviation Weather Intelligence Platform</w:t>
      </w:r>
    </w:p>
    <w:p>
      <w:pPr>
        <w:spacing w:after="20" w:before="260"/>
        <w:jc w:val="center"/>
      </w:pPr>
      <w:r>
        <w:rPr>
          <w:rFonts w:ascii="Calibri" w:cs="Calibri" w:eastAsia="Calibri" w:hAnsi="Calibri"/>
          <w:b/>
          <w:bCs/>
          <w:caps/>
          <w:color w:val="1B6CA8"/>
          <w:sz w:val="26"/>
          <w:szCs w:val="26"/>
        </w:rPr>
        <w:t xml:space="preserve">PHASE 1 CAPABILITY &amp; INVESTMENT REPORT</w:t>
      </w:r>
    </w:p>
    <w:p>
      <w:pPr>
        <w:spacing w:after="480"/>
        <w:jc w:val="center"/>
      </w:pPr>
      <w:r>
        <w:rPr>
          <w:rFonts w:ascii="Calibri" w:cs="Calibri" w:eastAsia="Calibri" w:hAnsi="Calibri"/>
          <w:i/>
          <w:iCs/>
          <w:color w:val="5A6472"/>
          <w:sz w:val="22"/>
          <w:szCs w:val="22"/>
        </w:rPr>
        <w:t xml:space="preserve">A sovereign, Qatar-built aviation weather &amp; airspace briefing system</w:t>
      </w:r>
    </w:p>
    <w:tbl>
      <w:tblPr>
        <w:tblW w:type="pct" w:w="74%"/>
        <w:jc w:val="center"/>
        <w:tblBorders>
          <w:top w:val="single" w:color="0F3460" w:sz="4"/>
          <w:left w:val="single" w:color="0F3460" w:sz="4"/>
          <w:bottom w:val="single" w:color="0F3460" w:sz="4"/>
          <w:right w:val="single" w:color="0F3460" w:sz="4"/>
          <w:insideH w:val="single" w:color="AEBECF" w:sz="1"/>
          <w:insideV w:val="none"/>
        </w:tblBorders>
      </w:tblPr>
      <w:tblGrid>
        <w:gridCol w:w="100"/>
        <w:gridCol w:w="100"/>
      </w:tblGrid>
      <w:tr>
        <w:tc>
          <w:tcPr>
            <w:tcW w:type="pct" w:w="42%"/>
            <w:shd w:fill="16213E" w:color="auto" w:val="clear"/>
            <w:tcMar>
              <w:top w:type="dxa" w:w="90"/>
              <w:left w:type="dxa" w:w="140"/>
              <w:bottom w:type="dxa" w:w="90"/>
              <w:right w:type="dxa" w:w="140"/>
            </w:tcMar>
          </w:tcPr>
          <w:p>
            <w:r>
              <w:rPr>
                <w:rFonts w:ascii="Calibri" w:cs="Calibri" w:eastAsia="Calibri" w:hAnsi="Calibri"/>
                <w:b/>
                <w:bCs/>
                <w:color w:val="FFFFFF"/>
                <w:sz w:val="20"/>
                <w:szCs w:val="20"/>
              </w:rPr>
              <w:t xml:space="preserve">Prepared for</w:t>
            </w:r>
          </w:p>
        </w:tc>
        <w:tc>
          <w:tcPr>
            <w:tcW w:type="pct" w:w="58%"/>
            <w:shd w:fill="FFFFFF" w:color="auto" w:val="clear"/>
            <w:tcMar>
              <w:top w:type="dxa" w:w="90"/>
              <w:left w:type="dxa" w:w="140"/>
              <w:bottom w:type="dxa" w:w="90"/>
              <w:right w:type="dxa" w:w="140"/>
            </w:tcMar>
          </w:tcPr>
          <w:p>
            <w:r>
              <w:rPr>
                <w:rFonts w:ascii="Calibri" w:cs="Calibri" w:eastAsia="Calibri" w:hAnsi="Calibri"/>
                <w:b w:val="false"/>
                <w:bCs w:val="false"/>
                <w:color w:val="1A1A2E"/>
                <w:sz w:val="20"/>
                <w:szCs w:val="20"/>
              </w:rPr>
              <w:t xml:space="preserve">Senior Military &amp; Government Aviation Authorities</w:t>
            </w:r>
          </w:p>
        </w:tc>
      </w:tr>
      <w:tr>
        <w:tc>
          <w:tcPr>
            <w:tcW w:type="pct" w:w="42%"/>
            <w:shd w:fill="16213E" w:color="auto" w:val="clear"/>
            <w:tcMar>
              <w:top w:type="dxa" w:w="90"/>
              <w:left w:type="dxa" w:w="140"/>
              <w:bottom w:type="dxa" w:w="90"/>
              <w:right w:type="dxa" w:w="140"/>
            </w:tcMar>
          </w:tcPr>
          <w:p>
            <w:r>
              <w:rPr>
                <w:rFonts w:ascii="Calibri" w:cs="Calibri" w:eastAsia="Calibri" w:hAnsi="Calibri"/>
                <w:b/>
                <w:bCs/>
                <w:color w:val="FFFFFF"/>
                <w:sz w:val="20"/>
                <w:szCs w:val="20"/>
              </w:rPr>
              <w:t xml:space="preserve">Programme status</w:t>
            </w:r>
          </w:p>
        </w:tc>
        <w:tc>
          <w:tcPr>
            <w:tcW w:type="pct" w:w="58%"/>
            <w:shd w:fill="FFFFFF" w:color="auto" w:val="clear"/>
            <w:tcMar>
              <w:top w:type="dxa" w:w="90"/>
              <w:left w:type="dxa" w:w="140"/>
              <w:bottom w:type="dxa" w:w="90"/>
              <w:right w:type="dxa" w:w="140"/>
            </w:tcMar>
          </w:tcPr>
          <w:p>
            <w:r>
              <w:rPr>
                <w:rFonts w:ascii="Calibri" w:cs="Calibri" w:eastAsia="Calibri" w:hAnsi="Calibri"/>
                <w:b w:val="false"/>
                <w:bCs w:val="false"/>
                <w:color w:val="1A1A2E"/>
                <w:sz w:val="20"/>
                <w:szCs w:val="20"/>
              </w:rPr>
              <w:t xml:space="preserve">Phase 1 — Operational Capability Delivered</w:t>
            </w:r>
          </w:p>
        </w:tc>
      </w:tr>
      <w:tr>
        <w:tc>
          <w:tcPr>
            <w:tcW w:type="pct" w:w="42%"/>
            <w:shd w:fill="16213E" w:color="auto" w:val="clear"/>
            <w:tcMar>
              <w:top w:type="dxa" w:w="90"/>
              <w:left w:type="dxa" w:w="140"/>
              <w:bottom w:type="dxa" w:w="90"/>
              <w:right w:type="dxa" w:w="140"/>
            </w:tcMar>
          </w:tcPr>
          <w:p>
            <w:r>
              <w:rPr>
                <w:rFonts w:ascii="Calibri" w:cs="Calibri" w:eastAsia="Calibri" w:hAnsi="Calibri"/>
                <w:b/>
                <w:bCs/>
                <w:color w:val="FFFFFF"/>
                <w:sz w:val="20"/>
                <w:szCs w:val="20"/>
              </w:rPr>
              <w:t xml:space="preserve">Document classification</w:t>
            </w:r>
          </w:p>
        </w:tc>
        <w:tc>
          <w:tcPr>
            <w:tcW w:type="pct" w:w="58%"/>
            <w:shd w:fill="FFFFFF" w:color="auto" w:val="clear"/>
            <w:tcMar>
              <w:top w:type="dxa" w:w="90"/>
              <w:left w:type="dxa" w:w="140"/>
              <w:bottom w:type="dxa" w:w="90"/>
              <w:right w:type="dxa" w:w="140"/>
            </w:tcMar>
          </w:tcPr>
          <w:p>
            <w:r>
              <w:rPr>
                <w:rFonts w:ascii="Calibri" w:cs="Calibri" w:eastAsia="Calibri" w:hAnsi="Calibri"/>
                <w:b w:val="false"/>
                <w:bCs w:val="false"/>
                <w:color w:val="1A1A2E"/>
                <w:sz w:val="20"/>
                <w:szCs w:val="20"/>
              </w:rPr>
              <w:t xml:space="preserve">Sensitive — For Official Use</w:t>
            </w:r>
          </w:p>
        </w:tc>
      </w:tr>
      <w:tr>
        <w:tc>
          <w:tcPr>
            <w:tcW w:type="pct" w:w="42%"/>
            <w:shd w:fill="16213E" w:color="auto" w:val="clear"/>
            <w:tcMar>
              <w:top w:type="dxa" w:w="90"/>
              <w:left w:type="dxa" w:w="140"/>
              <w:bottom w:type="dxa" w:w="90"/>
              <w:right w:type="dxa" w:w="140"/>
            </w:tcMar>
          </w:tcPr>
          <w:p>
            <w:r>
              <w:rPr>
                <w:rFonts w:ascii="Calibri" w:cs="Calibri" w:eastAsia="Calibri" w:hAnsi="Calibri"/>
                <w:b/>
                <w:bCs/>
                <w:color w:val="FFFFFF"/>
                <w:sz w:val="20"/>
                <w:szCs w:val="20"/>
              </w:rPr>
              <w:t xml:space="preserve">Date of issue</w:t>
            </w:r>
          </w:p>
        </w:tc>
        <w:tc>
          <w:tcPr>
            <w:tcW w:type="pct" w:w="58%"/>
            <w:shd w:fill="FFFFFF" w:color="auto" w:val="clear"/>
            <w:tcMar>
              <w:top w:type="dxa" w:w="90"/>
              <w:left w:type="dxa" w:w="140"/>
              <w:bottom w:type="dxa" w:w="90"/>
              <w:right w:type="dxa" w:w="140"/>
            </w:tcMar>
          </w:tcPr>
          <w:p>
            <w:r>
              <w:rPr>
                <w:rFonts w:ascii="Calibri" w:cs="Calibri" w:eastAsia="Calibri" w:hAnsi="Calibri"/>
                <w:b w:val="false"/>
                <w:bCs w:val="false"/>
                <w:color w:val="1A1A2E"/>
                <w:sz w:val="20"/>
                <w:szCs w:val="20"/>
              </w:rPr>
              <w:t xml:space="preserve">03 July 2026</w:t>
            </w:r>
          </w:p>
        </w:tc>
      </w:tr>
    </w:tbl>
    <w:p>
      <w:pPr>
        <w:spacing w:before="520"/>
        <w:jc w:val="center"/>
      </w:pPr>
      <w:r>
        <w:rPr>
          <w:rFonts w:ascii="Calibri" w:cs="Calibri" w:eastAsia="Calibri" w:hAnsi="Calibri"/>
          <w:i/>
          <w:iCs/>
          <w:color w:val="5A6472"/>
          <w:sz w:val="17"/>
          <w:szCs w:val="17"/>
        </w:rPr>
        <w:t xml:space="preserve">This report describes capability delivered to date. SamAI is a Phase 1 platform; subsequent phases are set out in the Future Roadmap.</w:t>
      </w:r>
    </w:p>
    <w:p>
      <w:r>
        <w:br w:type="page"/>
      </w:r>
    </w:p>
    <w:p>
      <w:pPr>
        <w:pStyle w:val="Heading1"/>
        <w:pBdr>
          <w:bottom w:val="single" w:color="0F3460" w:sz="12" w:space="4"/>
        </w:pBdr>
        <w:spacing w:after="120" w:before="320"/>
      </w:pPr>
      <w:r>
        <w:rPr>
          <w:rFonts w:ascii="Calibri" w:cs="Calibri" w:eastAsia="Calibri" w:hAnsi="Calibri"/>
          <w:b/>
          <w:bCs/>
          <w:color w:val="8ECAE6"/>
          <w:sz w:val="30"/>
          <w:szCs w:val="30"/>
        </w:rPr>
        <w:t xml:space="preserve">1.  </w:t>
      </w:r>
      <w:r>
        <w:rPr>
          <w:rFonts w:ascii="Calibri" w:cs="Calibri" w:eastAsia="Calibri" w:hAnsi="Calibri"/>
          <w:b/>
          <w:bCs/>
          <w:color w:val="0F3460"/>
          <w:sz w:val="30"/>
          <w:szCs w:val="30"/>
        </w:rPr>
        <w:t xml:space="preserve">Executive Summary</w:t>
      </w:r>
    </w:p>
    <w:p>
      <w:pPr>
        <w:spacing w:after="160" w:line="288"/>
        <w:jc w:val="both"/>
      </w:pPr>
      <w:r>
        <w:rPr>
          <w:rFonts w:ascii="Calibri" w:cs="Calibri" w:eastAsia="Calibri" w:hAnsi="Calibri"/>
          <w:i/>
          <w:iCs/>
          <w:color w:val="1B4F72"/>
          <w:sz w:val="22"/>
          <w:szCs w:val="22"/>
        </w:rPr>
        <w:t xml:space="preserve">SamAI is a sovereign, Qatar-built aviation weather and airspace intelligence platform that consolidates the full pre-flight and operational weather picture for Qatar's airspace into a single, always-current, web-based briefing console.</w:t>
      </w:r>
    </w:p>
    <w:p>
      <w:pPr>
        <w:spacing w:after="140" w:line="276"/>
        <w:jc w:val="both"/>
      </w:pPr>
      <w:r>
        <w:rPr>
          <w:rFonts w:ascii="Calibri" w:cs="Calibri" w:eastAsia="Calibri" w:hAnsi="Calibri"/>
          <w:color w:val="1A1A2E"/>
          <w:sz w:val="21"/>
          <w:szCs w:val="21"/>
        </w:rPr>
        <w:t xml:space="preserve">Aviation operations in and around the State of Qatar depend on the rapid, accurate assimilation of weather and airspace information drawn from many separate authorities and international feeds. Today that information is fragmented across meteorological services, aeronautical information publications, NOTAM offices and civil weather websites. SamAI removes that fragmentation. It automatically gathers live meteorological reports (METAR), forecasts (TAF), significant-weather advisories (SIGMET/AIRMET), NOTAMs, and official Qatar AIP airspace structure, and presents them as one coherent, continuously refreshed operational briefing for every airfield of national interest.</w:t>
      </w:r>
    </w:p>
    <w:p>
      <w:pPr>
        <w:spacing w:after="140" w:line="276"/>
        <w:jc w:val="both"/>
      </w:pPr>
      <w:r>
        <w:rPr>
          <w:rFonts w:ascii="Calibri" w:cs="Calibri" w:eastAsia="Calibri" w:hAnsi="Calibri"/>
          <w:color w:val="1A1A2E"/>
          <w:sz w:val="21"/>
          <w:szCs w:val="21"/>
        </w:rPr>
        <w:t xml:space="preserve">Critically, SamAI is not a commercial subscription service operated from abroad. It is developed and hosted under Qatari control, with its airspace data synchronised directly from Qatar's own Aeronautical Information Management (AIM) eAIP on every 28-day AIRAC cycle. This gives the State an independent, auditable, and expandable national capability — one that supports both military and civil aviation without dependence on foreign vendors for a safety-critical function.</w:t>
      </w:r>
    </w:p>
    <w:tbl>
      <w:tblPr>
        <w:tblW w:type="pct" w:w="100%"/>
        <w:tblBorders>
          <w:top w:val="single" w:color="0F3460" w:sz="2"/>
          <w:left w:val="single" w:color="8ECAE6" w:sz="18"/>
          <w:bottom w:val="single" w:color="0F3460" w:sz="2"/>
          <w:right w:val="single" w:color="0F3460" w:sz="2"/>
          <w:insideH w:val="none"/>
          <w:insideV w:val="none"/>
        </w:tblBorders>
      </w:tblPr>
      <w:tblGrid>
        <w:gridCol w:w="100"/>
      </w:tblGrid>
      <w:tr>
        <w:tc>
          <w:tcPr>
            <w:shd w:fill="EEF3F8" w:color="auto" w:val="clear"/>
            <w:tcMar>
              <w:top w:type="dxa" w:w="120"/>
              <w:left w:type="dxa" w:w="160"/>
              <w:bottom w:type="dxa" w:w="120"/>
              <w:right w:type="dxa" w:w="160"/>
            </w:tcMar>
          </w:tcPr>
          <w:p>
            <w:pPr>
              <w:spacing w:after="60"/>
            </w:pPr>
            <w:r>
              <w:rPr>
                <w:rFonts w:ascii="Calibri" w:cs="Calibri" w:eastAsia="Calibri" w:hAnsi="Calibri"/>
                <w:b/>
                <w:bCs/>
                <w:caps/>
                <w:color w:val="0F3460"/>
                <w:sz w:val="21"/>
                <w:szCs w:val="21"/>
              </w:rPr>
              <w:t xml:space="preserve">The headline</w:t>
            </w:r>
          </w:p>
          <w:p>
            <w:r>
              <w:rPr>
                <w:rFonts w:ascii="Calibri" w:cs="Calibri" w:eastAsia="Calibri" w:hAnsi="Calibri"/>
                <w:color w:val="1A1A2E"/>
                <w:sz w:val="21"/>
                <w:szCs w:val="21"/>
              </w:rPr>
              <w:t xml:space="preserve">SamAI already delivers a working, multi-airport operational weather and airspace briefing capability today. What has been achieved so far represents Phase 1 only — a proven foundation upon which a far larger national aviation-intelligence platform is designed to be built.</w:t>
            </w:r>
          </w:p>
        </w:tc>
      </w:tr>
    </w:tbl>
    <w:p>
      <w:pPr>
        <w:spacing w:after="80"/>
      </w:pPr>
    </w:p>
    <w:p>
      <w:pPr>
        <w:spacing w:after="140" w:line="276"/>
        <w:jc w:val="both"/>
      </w:pPr>
      <w:r>
        <w:rPr>
          <w:rFonts w:ascii="Calibri" w:cs="Calibri" w:eastAsia="Calibri" w:hAnsi="Calibri"/>
          <w:color w:val="1A1A2E"/>
          <w:sz w:val="21"/>
          <w:szCs w:val="21"/>
        </w:rPr>
        <w:t xml:space="preserve">The platform materially improves aviation safety and decision speed. A duty officer, planner, or aircrew member obtains a complete, standardised weather and airspace picture for six key airfields in seconds rather than assembling it manually from multiple sources — reducing response time, eliminating transcription error, and ensuring every user works from the same authoritative data. For the State, SamAI advances aviation safety, operational readiness, and sovereignty over a strategic information domain, in direct alignment with the Qatar National Vision 2030 goal of building indigenous, technology-enabled national capabilities.</w:t>
      </w:r>
    </w:p>
    <w:p>
      <w:pPr>
        <w:spacing w:after="40"/>
        <w:jc w:val="both"/>
      </w:pPr>
      <w:r>
        <w:rPr>
          <w:rFonts w:ascii="Calibri" w:cs="Calibri" w:eastAsia="Calibri" w:hAnsi="Calibri"/>
          <w:color w:val="1A1A2E"/>
          <w:sz w:val="21"/>
          <w:szCs w:val="21"/>
        </w:rPr>
        <w:t xml:space="preserve">This report sets out what SamAI is, how it works, why it matters operationally, who benefits from it, the features already delivered in Phase 1, the strategic roadmap for subsequent phases, and the investment case for continued support and resourcing.</w:t>
      </w:r>
    </w:p>
    <w:p>
      <w:r>
        <w:br w:type="page"/>
      </w:r>
    </w:p>
    <w:p>
      <w:pPr>
        <w:pStyle w:val="Heading1"/>
        <w:pBdr>
          <w:bottom w:val="single" w:color="0F3460" w:sz="12" w:space="4"/>
        </w:pBdr>
        <w:spacing w:after="120" w:before="320"/>
      </w:pPr>
      <w:r>
        <w:rPr>
          <w:rFonts w:ascii="Calibri" w:cs="Calibri" w:eastAsia="Calibri" w:hAnsi="Calibri"/>
          <w:b/>
          <w:bCs/>
          <w:color w:val="8ECAE6"/>
          <w:sz w:val="30"/>
          <w:szCs w:val="30"/>
        </w:rPr>
        <w:t xml:space="preserve">2.  </w:t>
      </w:r>
      <w:r>
        <w:rPr>
          <w:rFonts w:ascii="Calibri" w:cs="Calibri" w:eastAsia="Calibri" w:hAnsi="Calibri"/>
          <w:b/>
          <w:bCs/>
          <w:color w:val="0F3460"/>
          <w:sz w:val="30"/>
          <w:szCs w:val="30"/>
        </w:rPr>
        <w:t xml:space="preserve">What is SamAI</w:t>
      </w:r>
    </w:p>
    <w:p>
      <w:pPr>
        <w:spacing w:after="140" w:line="276"/>
        <w:jc w:val="both"/>
      </w:pPr>
      <w:r>
        <w:rPr>
          <w:rFonts w:ascii="Calibri" w:cs="Calibri" w:eastAsia="Calibri" w:hAnsi="Calibri"/>
          <w:color w:val="1A1A2E"/>
          <w:sz w:val="21"/>
          <w:szCs w:val="21"/>
        </w:rPr>
        <w:t xml:space="preserve">SamAI is a web-based aviation weather and airspace briefing platform. Any authorised user reaches it through a standard web browser on a desktop, laptop, or mobile device — there is no software to install and no specialist hardware. Behind that simple front door sits an automated engine that continuously collects, decodes, cross-references, and presents authoritative aeronautical data for Qatar and the surrounding region.</w:t>
      </w:r>
    </w:p>
    <w:p>
      <w:pPr>
        <w:pStyle w:val="Heading2"/>
        <w:spacing w:after="90" w:before="220"/>
      </w:pPr>
      <w:r>
        <w:rPr>
          <w:rFonts w:ascii="Calibri" w:cs="Calibri" w:eastAsia="Calibri" w:hAnsi="Calibri"/>
          <w:b/>
          <w:bCs/>
          <w:color w:val="1B4F72"/>
          <w:sz w:val="24"/>
          <w:szCs w:val="24"/>
        </w:rPr>
        <w:t xml:space="preserve">2.1  How it works</w:t>
      </w:r>
    </w:p>
    <w:p>
      <w:pPr>
        <w:spacing w:after="140" w:line="276"/>
        <w:jc w:val="both"/>
      </w:pPr>
      <w:r>
        <w:rPr>
          <w:rFonts w:ascii="Calibri" w:cs="Calibri" w:eastAsia="Calibri" w:hAnsi="Calibri"/>
          <w:color w:val="1A1A2E"/>
          <w:sz w:val="21"/>
          <w:szCs w:val="21"/>
        </w:rPr>
        <w:t xml:space="preserve">SamAI runs as a self-contained national service. A lightweight, resilient application server retrieves data on demand from official aeronautical and meteorological sources, normalises it into a common format, caches it intelligently to remain fast and available, and serves it to users through a clean, purpose-built aviation interface. Weather is refreshed continuously; airspace structure is refreshed automatically each AIRAC cycle; and every significant data source is monitored so that stale or failed feeds are detected rather than silently trusted.</w:t>
      </w:r>
    </w:p>
    <w:p>
      <w:pPr>
        <w:pStyle w:val="Heading2"/>
        <w:spacing w:after="90" w:before="220"/>
      </w:pPr>
      <w:r>
        <w:rPr>
          <w:rFonts w:ascii="Calibri" w:cs="Calibri" w:eastAsia="Calibri" w:hAnsi="Calibri"/>
          <w:b/>
          <w:bCs/>
          <w:color w:val="1B4F72"/>
          <w:sz w:val="24"/>
          <w:szCs w:val="24"/>
        </w:rPr>
        <w:t xml:space="preserve">2.2  Architecture at a glance</w:t>
      </w:r>
    </w:p>
    <w:p>
      <w:pPr>
        <w:pStyle w:val="ListParagraph"/>
        <w:numPr>
          <w:ilvl w:val="0"/>
          <w:numId w:val="2"/>
        </w:numPr>
        <w:spacing w:after="70" w:line="268"/>
      </w:pPr>
      <w:r>
        <w:rPr>
          <w:rFonts w:ascii="Calibri" w:cs="Calibri" w:eastAsia="Calibri" w:hAnsi="Calibri"/>
          <w:b/>
          <w:bCs/>
          <w:color w:val="0F3460"/>
          <w:sz w:val="21"/>
          <w:szCs w:val="21"/>
        </w:rPr>
        <w:t xml:space="preserve">Central service. </w:t>
      </w:r>
      <w:r>
        <w:rPr>
          <w:rFonts w:ascii="Calibri" w:cs="Calibri" w:eastAsia="Calibri" w:hAnsi="Calibri"/>
          <w:color w:val="1A1A2E"/>
          <w:sz w:val="21"/>
          <w:szCs w:val="21"/>
        </w:rPr>
        <w:t xml:space="preserve">A hardened application server that performs all data retrieval, decoding and cross-referencing, so no sensitive logic ever runs on the end-user's device.</w:t>
      </w:r>
    </w:p>
    <w:p>
      <w:pPr>
        <w:pStyle w:val="ListParagraph"/>
        <w:numPr>
          <w:ilvl w:val="0"/>
          <w:numId w:val="2"/>
        </w:numPr>
        <w:spacing w:after="70" w:line="268"/>
      </w:pPr>
      <w:r>
        <w:rPr>
          <w:rFonts w:ascii="Calibri" w:cs="Calibri" w:eastAsia="Calibri" w:hAnsi="Calibri"/>
          <w:b/>
          <w:bCs/>
          <w:color w:val="0F3460"/>
          <w:sz w:val="21"/>
          <w:szCs w:val="21"/>
        </w:rPr>
        <w:t xml:space="preserve">Resilient data layer. </w:t>
      </w:r>
      <w:r>
        <w:rPr>
          <w:rFonts w:ascii="Calibri" w:cs="Calibri" w:eastAsia="Calibri" w:hAnsi="Calibri"/>
          <w:color w:val="1A1A2E"/>
          <w:sz w:val="21"/>
          <w:szCs w:val="21"/>
        </w:rPr>
        <w:t xml:space="preserve">Live external feeds are fetched through a fault-tolerant chain with automatic fallback — if a primary source is unavailable, a secondary source is used so the briefing remains populated.</w:t>
      </w:r>
    </w:p>
    <w:p>
      <w:pPr>
        <w:pStyle w:val="ListParagraph"/>
        <w:numPr>
          <w:ilvl w:val="0"/>
          <w:numId w:val="2"/>
        </w:numPr>
        <w:spacing w:after="70" w:line="268"/>
      </w:pPr>
      <w:r>
        <w:rPr>
          <w:rFonts w:ascii="Calibri" w:cs="Calibri" w:eastAsia="Calibri" w:hAnsi="Calibri"/>
          <w:b/>
          <w:bCs/>
          <w:color w:val="0F3460"/>
          <w:sz w:val="21"/>
          <w:szCs w:val="21"/>
        </w:rPr>
        <w:t xml:space="preserve">Intelligent caching. </w:t>
      </w:r>
      <w:r>
        <w:rPr>
          <w:rFonts w:ascii="Calibri" w:cs="Calibri" w:eastAsia="Calibri" w:hAnsi="Calibri"/>
          <w:color w:val="1A1A2E"/>
          <w:sz w:val="21"/>
          <w:szCs w:val="21"/>
        </w:rPr>
        <w:t xml:space="preserve">Frequently used and slow-changing data (such as airspace structure and boundaries) is cached on a defined refresh cycle, keeping the system fast, resilient to outages, and light on external services.</w:t>
      </w:r>
    </w:p>
    <w:p>
      <w:pPr>
        <w:pStyle w:val="ListParagraph"/>
        <w:numPr>
          <w:ilvl w:val="0"/>
          <w:numId w:val="2"/>
        </w:numPr>
        <w:spacing w:after="70" w:line="268"/>
      </w:pPr>
      <w:r>
        <w:rPr>
          <w:rFonts w:ascii="Calibri" w:cs="Calibri" w:eastAsia="Calibri" w:hAnsi="Calibri"/>
          <w:b/>
          <w:bCs/>
          <w:color w:val="0F3460"/>
          <w:sz w:val="21"/>
          <w:szCs w:val="21"/>
        </w:rPr>
        <w:t xml:space="preserve">Controlled access. </w:t>
      </w:r>
      <w:r>
        <w:rPr>
          <w:rFonts w:ascii="Calibri" w:cs="Calibri" w:eastAsia="Calibri" w:hAnsi="Calibri"/>
          <w:color w:val="1A1A2E"/>
          <w:sz w:val="21"/>
          <w:szCs w:val="21"/>
        </w:rPr>
        <w:t xml:space="preserve">Access is controlled by named user accounts with defined roles; one active session is permitted per user, and administrative functions are separated from general viewing.</w:t>
      </w:r>
    </w:p>
    <w:p>
      <w:pPr>
        <w:spacing w:after="60"/>
      </w:pPr>
    </w:p>
    <w:p>
      <w:pPr>
        <w:pStyle w:val="Heading2"/>
        <w:spacing w:after="90" w:before="220"/>
      </w:pPr>
      <w:r>
        <w:rPr>
          <w:rFonts w:ascii="Calibri" w:cs="Calibri" w:eastAsia="Calibri" w:hAnsi="Calibri"/>
          <w:b/>
          <w:bCs/>
          <w:color w:val="1B4F72"/>
          <w:sz w:val="24"/>
          <w:szCs w:val="24"/>
        </w:rPr>
        <w:t xml:space="preserve">2.3  Real-time data sources</w:t>
      </w:r>
    </w:p>
    <w:p>
      <w:pPr>
        <w:spacing w:after="140" w:line="276"/>
        <w:jc w:val="both"/>
      </w:pPr>
      <w:r>
        <w:rPr>
          <w:rFonts w:ascii="Calibri" w:cs="Calibri" w:eastAsia="Calibri" w:hAnsi="Calibri"/>
          <w:color w:val="1A1A2E"/>
          <w:sz w:val="21"/>
          <w:szCs w:val="21"/>
        </w:rPr>
        <w:t xml:space="preserve">SamAI draws on authoritative aeronautical and meteorological sources and fuses them into one picture:</w:t>
      </w:r>
    </w:p>
    <w:tbl>
      <w:tblPr>
        <w:tblW w:type="pct" w:w="100%"/>
        <w:tblBorders>
          <w:top w:val="single" w:color="AEBECF" w:sz="2"/>
          <w:left w:val="single" w:color="AEBECF" w:sz="2"/>
          <w:bottom w:val="single" w:color="AEBECF" w:sz="2"/>
          <w:right w:val="single" w:color="AEBECF" w:sz="2"/>
          <w:insideH w:val="single" w:color="AEBECF" w:sz="1"/>
          <w:insideV w:val="single" w:color="AEBECF" w:sz="1"/>
        </w:tblBorders>
      </w:tblPr>
      <w:tblGrid>
        <w:gridCol w:w="100"/>
        <w:gridCol w:w="100"/>
        <w:gridCol w:w="100"/>
      </w:tblGrid>
      <w:tr>
        <w:trPr>
          <w:tblHeader/>
        </w:trPr>
        <w:tc>
          <w:tcPr>
            <w:tcW w:type="pct" w:w="24%"/>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Data domain</w:t>
            </w:r>
          </w:p>
        </w:tc>
        <w:tc>
          <w:tcPr>
            <w:tcW w:type="pct" w:w="40%"/>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What it provides</w:t>
            </w:r>
          </w:p>
        </w:tc>
        <w:tc>
          <w:tcPr>
            <w:tcW w:type="pct" w:w="36%"/>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Role in the briefing</w:t>
            </w:r>
          </w:p>
        </w:tc>
      </w:tr>
      <w:tr>
        <w:tc>
          <w:tcPr>
            <w:tcW w:type="pct" w:w="24%"/>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METAR</w:t>
            </w:r>
          </w:p>
        </w:tc>
        <w:tc>
          <w:tcPr>
            <w:tcW w:type="pct" w:w="40%"/>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Live surface weather observations for each airfield</w:t>
            </w:r>
          </w:p>
        </w:tc>
        <w:tc>
          <w:tcPr>
            <w:tcW w:type="pct" w:w="36%"/>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Current wind, visibility, cloud, temperature, dew point and QNH</w:t>
            </w:r>
          </w:p>
        </w:tc>
      </w:tr>
      <w:tr>
        <w:tc>
          <w:tcPr>
            <w:tcW w:type="pct" w:w="24%"/>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TAF</w:t>
            </w:r>
          </w:p>
        </w:tc>
        <w:tc>
          <w:tcPr>
            <w:tcW w:type="pct" w:w="40%"/>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Terminal aerodrome forecasts</w:t>
            </w:r>
          </w:p>
        </w:tc>
        <w:tc>
          <w:tcPr>
            <w:tcW w:type="pct" w:w="36%"/>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Forward look for departure, arrival and alternate planning</w:t>
            </w:r>
          </w:p>
        </w:tc>
      </w:tr>
      <w:tr>
        <w:tc>
          <w:tcPr>
            <w:tcW w:type="pct" w:w="24%"/>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SIGMET / AIRMET</w:t>
            </w:r>
          </w:p>
        </w:tc>
        <w:tc>
          <w:tcPr>
            <w:tcW w:type="pct" w:w="40%"/>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Significant en-route weather advisories</w:t>
            </w:r>
          </w:p>
        </w:tc>
        <w:tc>
          <w:tcPr>
            <w:tcW w:type="pct" w:w="36%"/>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Hazard awareness for the wider Gulf flight information regions</w:t>
            </w:r>
          </w:p>
        </w:tc>
      </w:tr>
      <w:tr>
        <w:tc>
          <w:tcPr>
            <w:tcW w:type="pct" w:w="24%"/>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Qatar AIP ENR 5.1</w:t>
            </w:r>
          </w:p>
        </w:tc>
        <w:tc>
          <w:tcPr>
            <w:tcW w:type="pct" w:w="40%"/>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Official prohibited, restricted and danger areas from Qatar's eAIP</w:t>
            </w:r>
          </w:p>
        </w:tc>
        <w:tc>
          <w:tcPr>
            <w:tcW w:type="pct" w:w="36%"/>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National airspace structure, auto-synchronised every AIRAC cycle</w:t>
            </w:r>
          </w:p>
        </w:tc>
      </w:tr>
      <w:tr>
        <w:tc>
          <w:tcPr>
            <w:tcW w:type="pct" w:w="24%"/>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NOTAMs</w:t>
            </w:r>
          </w:p>
        </w:tc>
        <w:tc>
          <w:tcPr>
            <w:tcW w:type="pct" w:w="40%"/>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Notices to air missions</w:t>
            </w:r>
          </w:p>
        </w:tc>
        <w:tc>
          <w:tcPr>
            <w:tcW w:type="pct" w:w="36%"/>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Live cross-referencing against airspace areas and routes</w:t>
            </w:r>
          </w:p>
        </w:tc>
      </w:tr>
      <w:tr>
        <w:tc>
          <w:tcPr>
            <w:tcW w:type="pct" w:w="24%"/>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Winds aloft (GFS / Open-Meteo)</w:t>
            </w:r>
          </w:p>
        </w:tc>
        <w:tc>
          <w:tcPr>
            <w:tcW w:type="pct" w:w="40%"/>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Upper-wind and temperature model data</w:t>
            </w:r>
          </w:p>
        </w:tc>
        <w:tc>
          <w:tcPr>
            <w:tcW w:type="pct" w:w="36%"/>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Wind sector grid and winds-aloft planning at altitude</w:t>
            </w:r>
          </w:p>
        </w:tc>
      </w:tr>
    </w:tbl>
    <w:p>
      <w:pPr>
        <w:spacing w:after="70"/>
      </w:pPr>
    </w:p>
    <w:tbl>
      <w:tblPr>
        <w:tblW w:type="pct" w:w="100%"/>
        <w:tblBorders>
          <w:top w:val="single" w:color="0F3460" w:sz="2"/>
          <w:left w:val="single" w:color="8ECAE6" w:sz="18"/>
          <w:bottom w:val="single" w:color="0F3460" w:sz="2"/>
          <w:right w:val="single" w:color="0F3460" w:sz="2"/>
          <w:insideH w:val="none"/>
          <w:insideV w:val="none"/>
        </w:tblBorders>
      </w:tblPr>
      <w:tblGrid>
        <w:gridCol w:w="100"/>
      </w:tblGrid>
      <w:tr>
        <w:tc>
          <w:tcPr>
            <w:shd w:fill="EEF3F8" w:color="auto" w:val="clear"/>
            <w:tcMar>
              <w:top w:type="dxa" w:w="120"/>
              <w:left w:type="dxa" w:w="160"/>
              <w:bottom w:type="dxa" w:w="120"/>
              <w:right w:type="dxa" w:w="160"/>
            </w:tcMar>
          </w:tcPr>
          <w:p>
            <w:pPr>
              <w:spacing w:after="60"/>
            </w:pPr>
            <w:r>
              <w:rPr>
                <w:rFonts w:ascii="Calibri" w:cs="Calibri" w:eastAsia="Calibri" w:hAnsi="Calibri"/>
                <w:b/>
                <w:bCs/>
                <w:caps/>
                <w:color w:val="0F3460"/>
                <w:sz w:val="21"/>
                <w:szCs w:val="21"/>
              </w:rPr>
              <w:t xml:space="preserve">Sovereign airspace synchronisation</w:t>
            </w:r>
          </w:p>
          <w:p>
            <w:r>
              <w:rPr>
                <w:rFonts w:ascii="Calibri" w:cs="Calibri" w:eastAsia="Calibri" w:hAnsi="Calibri"/>
                <w:color w:val="1A1A2E"/>
                <w:sz w:val="21"/>
                <w:szCs w:val="21"/>
              </w:rPr>
              <w:t xml:space="preserve">SamAI resolves the current-effective AIRAC cycle directly from Qatar's official AIM eAIP and re-parses the national P/R/D airspace structure automatically every 28 days. The State's own published data — not a third-party interpretation of it — drives the map.</w:t>
            </w:r>
          </w:p>
        </w:tc>
      </w:tr>
    </w:tbl>
    <w:p>
      <w:pPr>
        <w:spacing w:after="80"/>
      </w:pPr>
    </w:p>
    <w:p>
      <w:pPr>
        <w:pStyle w:val="Heading2"/>
        <w:spacing w:after="90" w:before="220"/>
      </w:pPr>
      <w:r>
        <w:rPr>
          <w:rFonts w:ascii="Calibri" w:cs="Calibri" w:eastAsia="Calibri" w:hAnsi="Calibri"/>
          <w:b/>
          <w:bCs/>
          <w:color w:val="1B4F72"/>
          <w:sz w:val="24"/>
          <w:szCs w:val="24"/>
        </w:rPr>
        <w:t xml:space="preserve">2.4  Web-based accessibility</w:t>
      </w:r>
    </w:p>
    <w:p>
      <w:pPr>
        <w:spacing w:after="40"/>
        <w:jc w:val="both"/>
      </w:pPr>
      <w:r>
        <w:rPr>
          <w:rFonts w:ascii="Calibri" w:cs="Calibri" w:eastAsia="Calibri" w:hAnsi="Calibri"/>
          <w:color w:val="1A1A2E"/>
          <w:sz w:val="21"/>
          <w:szCs w:val="21"/>
        </w:rPr>
        <w:t xml:space="preserve">Because SamAI is delivered through the browser, it is immediately available wherever it is authorised — an operations room, a squadron briefing facility, a planning cell, or a duty officer's mobile device. The interface is designed for aviation use: a dark, low-glare theme suitable for operations environments, a fixed no-scroll briefing table on desktop, and a responsive card layout on mobile. New capabilities are deployed centrally and are available to every user instantly, with no client-side updates to manage.</w:t>
      </w:r>
    </w:p>
    <w:p>
      <w:r>
        <w:br w:type="page"/>
      </w:r>
    </w:p>
    <w:p>
      <w:pPr>
        <w:pStyle w:val="Heading1"/>
        <w:pBdr>
          <w:bottom w:val="single" w:color="0F3460" w:sz="12" w:space="4"/>
        </w:pBdr>
        <w:spacing w:after="120" w:before="320"/>
      </w:pPr>
      <w:r>
        <w:rPr>
          <w:rFonts w:ascii="Calibri" w:cs="Calibri" w:eastAsia="Calibri" w:hAnsi="Calibri"/>
          <w:b/>
          <w:bCs/>
          <w:color w:val="8ECAE6"/>
          <w:sz w:val="30"/>
          <w:szCs w:val="30"/>
        </w:rPr>
        <w:t xml:space="preserve">3.  </w:t>
      </w:r>
      <w:r>
        <w:rPr>
          <w:rFonts w:ascii="Calibri" w:cs="Calibri" w:eastAsia="Calibri" w:hAnsi="Calibri"/>
          <w:b/>
          <w:bCs/>
          <w:color w:val="0F3460"/>
          <w:sz w:val="30"/>
          <w:szCs w:val="30"/>
        </w:rPr>
        <w:t xml:space="preserve">Operational Importance</w:t>
      </w:r>
    </w:p>
    <w:p>
      <w:pPr>
        <w:spacing w:after="160" w:line="288"/>
        <w:jc w:val="both"/>
      </w:pPr>
      <w:r>
        <w:rPr>
          <w:rFonts w:ascii="Calibri" w:cs="Calibri" w:eastAsia="Calibri" w:hAnsi="Calibri"/>
          <w:i/>
          <w:iCs/>
          <w:color w:val="1B4F72"/>
          <w:sz w:val="22"/>
          <w:szCs w:val="22"/>
        </w:rPr>
        <w:t xml:space="preserve">In aviation, weather situational awareness is not administrative overhead — it is a primary determinant of flight safety, mission success, and the protection of aircraft and aircrew.</w:t>
      </w:r>
    </w:p>
    <w:p>
      <w:pPr>
        <w:spacing w:after="140" w:line="276"/>
        <w:jc w:val="both"/>
      </w:pPr>
      <w:r>
        <w:rPr>
          <w:rFonts w:ascii="Calibri" w:cs="Calibri" w:eastAsia="Calibri" w:hAnsi="Calibri"/>
          <w:color w:val="1A1A2E"/>
          <w:sz w:val="21"/>
          <w:szCs w:val="21"/>
        </w:rPr>
        <w:t xml:space="preserve">The great majority of weather-related aviation incidents trace back not to the weather itself but to incomplete, delayed, or misread weather information. Decisions to launch, divert, hold, or recover are only as sound as the picture on which they are based. SamAI is built to make that picture complete, current, standardised, and instantly available.</w:t>
      </w:r>
    </w:p>
    <w:p>
      <w:pPr>
        <w:pStyle w:val="Heading2"/>
        <w:spacing w:after="90" w:before="220"/>
      </w:pPr>
      <w:r>
        <w:rPr>
          <w:rFonts w:ascii="Calibri" w:cs="Calibri" w:eastAsia="Calibri" w:hAnsi="Calibri"/>
          <w:b/>
          <w:bCs/>
          <w:color w:val="1B4F72"/>
          <w:sz w:val="24"/>
          <w:szCs w:val="24"/>
        </w:rPr>
        <w:t xml:space="preserve">3.1  Faster response and decision time</w:t>
      </w:r>
    </w:p>
    <w:p>
      <w:pPr>
        <w:spacing w:after="140" w:line="276"/>
        <w:jc w:val="both"/>
      </w:pPr>
      <w:r>
        <w:rPr>
          <w:rFonts w:ascii="Calibri" w:cs="Calibri" w:eastAsia="Calibri" w:hAnsi="Calibri"/>
          <w:color w:val="1A1A2E"/>
          <w:sz w:val="21"/>
          <w:szCs w:val="21"/>
        </w:rPr>
        <w:t xml:space="preserve">Assembling a manual multi-airfield briefing — locating each METAR and TAF, checking SIGMETs, reviewing NOTAMs, and confirming active airspace — can take many minutes per cycle and must be repeated as conditions change. SamAI compresses that to seconds. A duty officer opens one screen and immediately sees the current state of every airfield of interest, with stale data automatically flagged. In time-critical situations, that reclaimed time is decisive.</w:t>
      </w:r>
    </w:p>
    <w:p>
      <w:pPr>
        <w:pStyle w:val="Heading2"/>
        <w:spacing w:after="90" w:before="220"/>
      </w:pPr>
      <w:r>
        <w:rPr>
          <w:rFonts w:ascii="Calibri" w:cs="Calibri" w:eastAsia="Calibri" w:hAnsi="Calibri"/>
          <w:b/>
          <w:bCs/>
          <w:color w:val="1B4F72"/>
          <w:sz w:val="24"/>
          <w:szCs w:val="24"/>
        </w:rPr>
        <w:t xml:space="preserve">3.2  Reduction of human error</w:t>
      </w:r>
    </w:p>
    <w:p>
      <w:pPr>
        <w:pStyle w:val="ListParagraph"/>
        <w:numPr>
          <w:ilvl w:val="0"/>
          <w:numId w:val="2"/>
        </w:numPr>
        <w:spacing w:after="70" w:line="268"/>
      </w:pPr>
      <w:r>
        <w:rPr>
          <w:rFonts w:ascii="Calibri" w:cs="Calibri" w:eastAsia="Calibri" w:hAnsi="Calibri"/>
          <w:b/>
          <w:bCs/>
          <w:color w:val="0F3460"/>
          <w:sz w:val="21"/>
          <w:szCs w:val="21"/>
        </w:rPr>
        <w:t xml:space="preserve">Single source of truth. </w:t>
      </w:r>
      <w:r>
        <w:rPr>
          <w:rFonts w:ascii="Calibri" w:cs="Calibri" w:eastAsia="Calibri" w:hAnsi="Calibri"/>
          <w:color w:val="1A1A2E"/>
          <w:sz w:val="21"/>
          <w:szCs w:val="21"/>
        </w:rPr>
        <w:t xml:space="preserve">Every user reads the same authoritative, automatically decoded data — eliminating transcription and interpretation errors that arise when briefings are copied by hand.</w:t>
      </w:r>
    </w:p>
    <w:p>
      <w:pPr>
        <w:pStyle w:val="ListParagraph"/>
        <w:numPr>
          <w:ilvl w:val="0"/>
          <w:numId w:val="2"/>
        </w:numPr>
        <w:spacing w:after="70" w:line="268"/>
      </w:pPr>
      <w:r>
        <w:rPr>
          <w:rFonts w:ascii="Calibri" w:cs="Calibri" w:eastAsia="Calibri" w:hAnsi="Calibri"/>
          <w:b/>
          <w:bCs/>
          <w:color w:val="0F3460"/>
          <w:sz w:val="21"/>
          <w:szCs w:val="21"/>
        </w:rPr>
        <w:t xml:space="preserve">Stale-data flagging. </w:t>
      </w:r>
      <w:r>
        <w:rPr>
          <w:rFonts w:ascii="Calibri" w:cs="Calibri" w:eastAsia="Calibri" w:hAnsi="Calibri"/>
          <w:color w:val="1A1A2E"/>
          <w:sz w:val="21"/>
          <w:szCs w:val="21"/>
        </w:rPr>
        <w:t xml:space="preserve">Observations older than a defined threshold are highlighted, so no decision is unknowingly made on expired weather.</w:t>
      </w:r>
    </w:p>
    <w:p>
      <w:pPr>
        <w:pStyle w:val="ListParagraph"/>
        <w:numPr>
          <w:ilvl w:val="0"/>
          <w:numId w:val="2"/>
        </w:numPr>
        <w:spacing w:after="70" w:line="268"/>
      </w:pPr>
      <w:r>
        <w:rPr>
          <w:rFonts w:ascii="Calibri" w:cs="Calibri" w:eastAsia="Calibri" w:hAnsi="Calibri"/>
          <w:b/>
          <w:bCs/>
          <w:color w:val="0F3460"/>
          <w:sz w:val="21"/>
          <w:szCs w:val="21"/>
        </w:rPr>
        <w:t xml:space="preserve">Automatic decoding. </w:t>
      </w:r>
      <w:r>
        <w:rPr>
          <w:rFonts w:ascii="Calibri" w:cs="Calibri" w:eastAsia="Calibri" w:hAnsi="Calibri"/>
          <w:color w:val="1A1A2E"/>
          <w:sz w:val="21"/>
          <w:szCs w:val="21"/>
        </w:rPr>
        <w:t xml:space="preserve">Raw reports are decoded into plain, consistent fields, reducing the risk of misreading coded aviation formats under pressure.</w:t>
      </w:r>
    </w:p>
    <w:p>
      <w:pPr>
        <w:pStyle w:val="ListParagraph"/>
        <w:numPr>
          <w:ilvl w:val="0"/>
          <w:numId w:val="2"/>
        </w:numPr>
        <w:spacing w:after="70" w:line="268"/>
      </w:pPr>
      <w:r>
        <w:rPr>
          <w:rFonts w:ascii="Calibri" w:cs="Calibri" w:eastAsia="Calibri" w:hAnsi="Calibri"/>
          <w:b/>
          <w:bCs/>
          <w:color w:val="0F3460"/>
          <w:sz w:val="21"/>
          <w:szCs w:val="21"/>
        </w:rPr>
        <w:t xml:space="preserve">Contextual NOTAMs. </w:t>
      </w:r>
      <w:r>
        <w:rPr>
          <w:rFonts w:ascii="Calibri" w:cs="Calibri" w:eastAsia="Calibri" w:hAnsi="Calibri"/>
          <w:color w:val="1A1A2E"/>
          <w:sz w:val="21"/>
          <w:szCs w:val="21"/>
        </w:rPr>
        <w:t xml:space="preserve">NOTAMs are cross-referenced against the live airspace picture, so restrictions are seen in context rather than missed in a text list.</w:t>
      </w:r>
    </w:p>
    <w:p>
      <w:pPr>
        <w:spacing w:after="60"/>
      </w:pPr>
    </w:p>
    <w:p>
      <w:pPr>
        <w:pStyle w:val="Heading2"/>
        <w:spacing w:after="90" w:before="220"/>
      </w:pPr>
      <w:r>
        <w:rPr>
          <w:rFonts w:ascii="Calibri" w:cs="Calibri" w:eastAsia="Calibri" w:hAnsi="Calibri"/>
          <w:b/>
          <w:bCs/>
          <w:color w:val="1B4F72"/>
          <w:sz w:val="24"/>
          <w:szCs w:val="24"/>
        </w:rPr>
        <w:t xml:space="preserve">3.3  Centralised briefing across multiple airfields</w:t>
      </w:r>
    </w:p>
    <w:p>
      <w:pPr>
        <w:spacing w:after="140" w:line="276"/>
        <w:jc w:val="both"/>
      </w:pPr>
      <w:r>
        <w:rPr>
          <w:rFonts w:ascii="Calibri" w:cs="Calibri" w:eastAsia="Calibri" w:hAnsi="Calibri"/>
          <w:color w:val="1A1A2E"/>
          <w:sz w:val="21"/>
          <w:szCs w:val="21"/>
        </w:rPr>
        <w:t xml:space="preserve">SamAI provides a unified, side-by-side operational picture for the airfields of greatest national interest — spanning Qatar's principal military and civil aerodromes and key regional alternates:</w:t>
      </w:r>
    </w:p>
    <w:tbl>
      <w:tblPr>
        <w:tblW w:type="pct" w:w="100%"/>
        <w:tblBorders>
          <w:top w:val="single" w:color="AEBECF" w:sz="2"/>
          <w:left w:val="single" w:color="AEBECF" w:sz="2"/>
          <w:bottom w:val="single" w:color="AEBECF" w:sz="2"/>
          <w:right w:val="single" w:color="AEBECF" w:sz="2"/>
          <w:insideH w:val="single" w:color="AEBECF" w:sz="1"/>
          <w:insideV w:val="single" w:color="AEBECF" w:sz="1"/>
        </w:tblBorders>
      </w:tblPr>
      <w:tblGrid>
        <w:gridCol w:w="100"/>
        <w:gridCol w:w="100"/>
        <w:gridCol w:w="100"/>
      </w:tblGrid>
      <w:tr>
        <w:trPr>
          <w:tblHeader/>
        </w:trPr>
        <w:tc>
          <w:tcPr>
            <w:tcW w:type="pct" w:w="12%"/>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ICAO</w:t>
            </w:r>
          </w:p>
        </w:tc>
        <w:tc>
          <w:tcPr>
            <w:tcW w:type="pct" w:w="50%"/>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Airfield</w:t>
            </w:r>
          </w:p>
        </w:tc>
        <w:tc>
          <w:tcPr>
            <w:tcW w:type="pct" w:w="38%"/>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Role</w:t>
            </w:r>
          </w:p>
        </w:tc>
      </w:tr>
      <w:tr>
        <w:tc>
          <w:tcPr>
            <w:tcW w:type="pct" w:w="12%"/>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OTHH</w:t>
            </w:r>
          </w:p>
        </w:tc>
        <w:tc>
          <w:tcPr>
            <w:tcW w:type="pct" w:w="50%"/>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Hamad International Airport</w:t>
            </w:r>
          </w:p>
        </w:tc>
        <w:tc>
          <w:tcPr>
            <w:tcW w:type="pct" w:w="38%"/>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Primary international civil hub</w:t>
            </w:r>
          </w:p>
        </w:tc>
      </w:tr>
      <w:tr>
        <w:tc>
          <w:tcPr>
            <w:tcW w:type="pct" w:w="12%"/>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OTBD</w:t>
            </w:r>
          </w:p>
        </w:tc>
        <w:tc>
          <w:tcPr>
            <w:tcW w:type="pct" w:w="50%"/>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Doha International Airport</w:t>
            </w:r>
          </w:p>
        </w:tc>
        <w:tc>
          <w:tcPr>
            <w:tcW w:type="pct" w:w="38%"/>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Civil / military operations</w:t>
            </w:r>
          </w:p>
        </w:tc>
      </w:tr>
      <w:tr>
        <w:tc>
          <w:tcPr>
            <w:tcW w:type="pct" w:w="12%"/>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OTBH</w:t>
            </w:r>
          </w:p>
        </w:tc>
        <w:tc>
          <w:tcPr>
            <w:tcW w:type="pct" w:w="50%"/>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Al Udeid Air Base</w:t>
            </w:r>
          </w:p>
        </w:tc>
        <w:tc>
          <w:tcPr>
            <w:tcW w:type="pct" w:w="38%"/>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Major military air base</w:t>
            </w:r>
          </w:p>
        </w:tc>
      </w:tr>
      <w:tr>
        <w:tc>
          <w:tcPr>
            <w:tcW w:type="pct" w:w="12%"/>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OTBT</w:t>
            </w:r>
          </w:p>
        </w:tc>
        <w:tc>
          <w:tcPr>
            <w:tcW w:type="pct" w:w="50%"/>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Dukhan Airbase</w:t>
            </w:r>
          </w:p>
        </w:tc>
        <w:tc>
          <w:tcPr>
            <w:tcW w:type="pct" w:w="38%"/>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Military operations (manual observation supported)</w:t>
            </w:r>
          </w:p>
        </w:tc>
      </w:tr>
      <w:tr>
        <w:tc>
          <w:tcPr>
            <w:tcW w:type="pct" w:w="12%"/>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OEDR</w:t>
            </w:r>
          </w:p>
        </w:tc>
        <w:tc>
          <w:tcPr>
            <w:tcW w:type="pct" w:w="50%"/>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King Abdulaziz Air Base</w:t>
            </w:r>
          </w:p>
        </w:tc>
        <w:tc>
          <w:tcPr>
            <w:tcW w:type="pct" w:w="38%"/>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Regional alternate (Saudi Arabia)</w:t>
            </w:r>
          </w:p>
        </w:tc>
      </w:tr>
      <w:tr>
        <w:tc>
          <w:tcPr>
            <w:tcW w:type="pct" w:w="12%"/>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OEAH</w:t>
            </w:r>
          </w:p>
        </w:tc>
        <w:tc>
          <w:tcPr>
            <w:tcW w:type="pct" w:w="50%"/>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Al Ahsa Airport</w:t>
            </w:r>
          </w:p>
        </w:tc>
        <w:tc>
          <w:tcPr>
            <w:tcW w:type="pct" w:w="38%"/>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Regional alternate (Saudi Arabia)</w:t>
            </w:r>
          </w:p>
        </w:tc>
      </w:tr>
    </w:tbl>
    <w:p>
      <w:pPr>
        <w:spacing w:after="70"/>
      </w:pPr>
    </w:p>
    <w:p>
      <w:pPr>
        <w:spacing w:after="40"/>
        <w:jc w:val="both"/>
      </w:pPr>
      <w:r>
        <w:rPr>
          <w:rFonts w:ascii="Calibri" w:cs="Calibri" w:eastAsia="Calibri" w:hAnsi="Calibri"/>
          <w:color w:val="1A1A2E"/>
          <w:sz w:val="21"/>
          <w:szCs w:val="21"/>
        </w:rPr>
        <w:t xml:space="preserve">Presenting these airfields together — with consistent fields, flight-category indication, and shared airspace and hazard context — gives commanders and planners a single common operating picture. Alternates are considered alongside primary fields as a matter of course, strengthening contingency planning and recovery decisions.</w:t>
      </w:r>
    </w:p>
    <w:p>
      <w:r>
        <w:br w:type="page"/>
      </w:r>
    </w:p>
    <w:p>
      <w:pPr>
        <w:pStyle w:val="Heading1"/>
        <w:pBdr>
          <w:bottom w:val="single" w:color="0F3460" w:sz="12" w:space="4"/>
        </w:pBdr>
        <w:spacing w:after="120" w:before="320"/>
      </w:pPr>
      <w:r>
        <w:rPr>
          <w:rFonts w:ascii="Calibri" w:cs="Calibri" w:eastAsia="Calibri" w:hAnsi="Calibri"/>
          <w:b/>
          <w:bCs/>
          <w:color w:val="8ECAE6"/>
          <w:sz w:val="30"/>
          <w:szCs w:val="30"/>
        </w:rPr>
        <w:t xml:space="preserve">4.  </w:t>
      </w:r>
      <w:r>
        <w:rPr>
          <w:rFonts w:ascii="Calibri" w:cs="Calibri" w:eastAsia="Calibri" w:hAnsi="Calibri"/>
          <w:b/>
          <w:bCs/>
          <w:color w:val="0F3460"/>
          <w:sz w:val="30"/>
          <w:szCs w:val="30"/>
        </w:rPr>
        <w:t xml:space="preserve">Who Benefits</w:t>
      </w:r>
    </w:p>
    <w:p>
      <w:pPr>
        <w:spacing w:after="140" w:line="276"/>
        <w:jc w:val="both"/>
      </w:pPr>
      <w:r>
        <w:rPr>
          <w:rFonts w:ascii="Calibri" w:cs="Calibri" w:eastAsia="Calibri" w:hAnsi="Calibri"/>
          <w:color w:val="1A1A2E"/>
          <w:sz w:val="21"/>
          <w:szCs w:val="21"/>
        </w:rPr>
        <w:t xml:space="preserve">SamAI is deliberately broad in its relevance. The same authoritative weather and airspace picture serves a wide community of national aviation stakeholders, each drawing different value from it:</w:t>
      </w:r>
    </w:p>
    <w:tbl>
      <w:tblPr>
        <w:tblW w:type="pct" w:w="100%"/>
        <w:tblBorders>
          <w:top w:val="single" w:color="AEBECF" w:sz="2"/>
          <w:left w:val="single" w:color="AEBECF" w:sz="2"/>
          <w:bottom w:val="single" w:color="AEBECF" w:sz="2"/>
          <w:right w:val="single" w:color="AEBECF" w:sz="2"/>
          <w:insideH w:val="single" w:color="AEBECF" w:sz="1"/>
          <w:insideV w:val="single" w:color="AEBECF" w:sz="1"/>
        </w:tblBorders>
      </w:tblPr>
      <w:tblGrid>
        <w:gridCol w:w="100"/>
        <w:gridCol w:w="100"/>
      </w:tblGrid>
      <w:tr>
        <w:trPr>
          <w:tblHeader/>
        </w:trPr>
        <w:tc>
          <w:tcPr>
            <w:tcW w:type="pct" w:w="30%"/>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Stakeholder</w:t>
            </w:r>
          </w:p>
        </w:tc>
        <w:tc>
          <w:tcPr>
            <w:tcW w:type="pct" w:w="70%"/>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Value delivered by SamAI</w:t>
            </w:r>
          </w:p>
        </w:tc>
      </w:tr>
      <w:tr>
        <w:tc>
          <w:tcPr>
            <w:tcW w:type="pct" w:w="30%"/>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Military aviation units</w:t>
            </w:r>
          </w:p>
        </w:tc>
        <w:tc>
          <w:tcPr>
            <w:tcW w:type="pct" w:w="70%"/>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Rapid multi-airfield weather and active-airspace awareness for mission planning, launch/recovery decisions, and aircrew briefing.</w:t>
            </w:r>
          </w:p>
        </w:tc>
      </w:tr>
      <w:tr>
        <w:tc>
          <w:tcPr>
            <w:tcW w:type="pct" w:w="30%"/>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Civil aviation planners</w:t>
            </w:r>
          </w:p>
        </w:tc>
        <w:tc>
          <w:tcPr>
            <w:tcW w:type="pct" w:w="70%"/>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Standardised, current METAR/TAF and airspace data for scheduling, dispatch and safety assurance across Qatari airfields.</w:t>
            </w:r>
          </w:p>
        </w:tc>
      </w:tr>
      <w:tr>
        <w:tc>
          <w:tcPr>
            <w:tcW w:type="pct" w:w="30%"/>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Flight operations centres</w:t>
            </w:r>
          </w:p>
        </w:tc>
        <w:tc>
          <w:tcPr>
            <w:tcW w:type="pct" w:w="70%"/>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A single common operating picture that keeps duty staff and multiple crews working from identical, live information.</w:t>
            </w:r>
          </w:p>
        </w:tc>
      </w:tr>
      <w:tr>
        <w:tc>
          <w:tcPr>
            <w:tcW w:type="pct" w:w="30%"/>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QatarEnergy offshore helicopter operations</w:t>
            </w:r>
          </w:p>
        </w:tc>
        <w:tc>
          <w:tcPr>
            <w:tcW w:type="pct" w:w="70%"/>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Consolidated wind, visibility and hazard awareness for over-water rotary operations, with helicopter and VFR reporting points on the airspace map.</w:t>
            </w:r>
          </w:p>
        </w:tc>
      </w:tr>
      <w:tr>
        <w:tc>
          <w:tcPr>
            <w:tcW w:type="pct" w:w="30%"/>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Air traffic management</w:t>
            </w:r>
          </w:p>
        </w:tc>
        <w:tc>
          <w:tcPr>
            <w:tcW w:type="pct" w:w="70%"/>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Shared situational context of airspace structure, restrictions and significant weather across the Doha FIR and neighbouring regions.</w:t>
            </w:r>
          </w:p>
        </w:tc>
      </w:tr>
      <w:tr>
        <w:tc>
          <w:tcPr>
            <w:tcW w:type="pct" w:w="30%"/>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Strategic investors &amp; decision-makers</w:t>
            </w:r>
          </w:p>
        </w:tc>
        <w:tc>
          <w:tcPr>
            <w:tcW w:type="pct" w:w="70%"/>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A demonstrable, expandable national platform with a clear roadmap, sovereign control, and strong cost advantage over foreign alternatives.</w:t>
            </w:r>
          </w:p>
        </w:tc>
      </w:tr>
    </w:tbl>
    <w:p>
      <w:pPr>
        <w:spacing w:after="80"/>
      </w:pPr>
    </w:p>
    <w:tbl>
      <w:tblPr>
        <w:tblW w:type="pct" w:w="100%"/>
        <w:tblBorders>
          <w:top w:val="single" w:color="0F3460" w:sz="2"/>
          <w:left w:val="single" w:color="8ECAE6" w:sz="18"/>
          <w:bottom w:val="single" w:color="0F3460" w:sz="2"/>
          <w:right w:val="single" w:color="0F3460" w:sz="2"/>
          <w:insideH w:val="none"/>
          <w:insideV w:val="none"/>
        </w:tblBorders>
      </w:tblPr>
      <w:tblGrid>
        <w:gridCol w:w="100"/>
      </w:tblGrid>
      <w:tr>
        <w:tc>
          <w:tcPr>
            <w:shd w:fill="EEF3F8" w:color="auto" w:val="clear"/>
            <w:tcMar>
              <w:top w:type="dxa" w:w="120"/>
              <w:left w:type="dxa" w:w="160"/>
              <w:bottom w:type="dxa" w:w="120"/>
              <w:right w:type="dxa" w:w="160"/>
            </w:tcMar>
          </w:tcPr>
          <w:p>
            <w:pPr>
              <w:spacing w:after="60"/>
            </w:pPr>
            <w:r>
              <w:rPr>
                <w:rFonts w:ascii="Calibri" w:cs="Calibri" w:eastAsia="Calibri" w:hAnsi="Calibri"/>
                <w:b/>
                <w:bCs/>
                <w:caps/>
                <w:color w:val="0F3460"/>
                <w:sz w:val="21"/>
                <w:szCs w:val="21"/>
              </w:rPr>
              <w:t xml:space="preserve">Cross-domain by design</w:t>
            </w:r>
          </w:p>
          <w:p>
            <w:r>
              <w:rPr>
                <w:rFonts w:ascii="Calibri" w:cs="Calibri" w:eastAsia="Calibri" w:hAnsi="Calibri"/>
                <w:color w:val="1A1A2E"/>
                <w:sz w:val="21"/>
                <w:szCs w:val="21"/>
              </w:rPr>
              <w:t xml:space="preserve">Because SamAI unifies military, civil, offshore and air-traffic weather needs on one platform, investment in it compounds: a single capability simultaneously raises safety and readiness across every national aviation community rather than serving one in isolation.</w:t>
            </w:r>
          </w:p>
        </w:tc>
      </w:tr>
    </w:tbl>
    <w:p>
      <w:r>
        <w:br w:type="page"/>
      </w:r>
    </w:p>
    <w:p>
      <w:pPr>
        <w:pStyle w:val="Heading1"/>
        <w:pBdr>
          <w:bottom w:val="single" w:color="0F3460" w:sz="12" w:space="4"/>
        </w:pBdr>
        <w:spacing w:after="120" w:before="320"/>
      </w:pPr>
      <w:r>
        <w:rPr>
          <w:rFonts w:ascii="Calibri" w:cs="Calibri" w:eastAsia="Calibri" w:hAnsi="Calibri"/>
          <w:b/>
          <w:bCs/>
          <w:color w:val="8ECAE6"/>
          <w:sz w:val="30"/>
          <w:szCs w:val="30"/>
        </w:rPr>
        <w:t xml:space="preserve">5.  </w:t>
      </w:r>
      <w:r>
        <w:rPr>
          <w:rFonts w:ascii="Calibri" w:cs="Calibri" w:eastAsia="Calibri" w:hAnsi="Calibri"/>
          <w:b/>
          <w:bCs/>
          <w:color w:val="0F3460"/>
          <w:sz w:val="30"/>
          <w:szCs w:val="30"/>
        </w:rPr>
        <w:t xml:space="preserve">Current Features — Delivered in Phase 1</w:t>
      </w:r>
    </w:p>
    <w:p>
      <w:pPr>
        <w:spacing w:after="160" w:line="288"/>
        <w:jc w:val="both"/>
      </w:pPr>
      <w:r>
        <w:rPr>
          <w:rFonts w:ascii="Calibri" w:cs="Calibri" w:eastAsia="Calibri" w:hAnsi="Calibri"/>
          <w:i/>
          <w:iCs/>
          <w:color w:val="1B4F72"/>
          <w:sz w:val="22"/>
          <w:szCs w:val="22"/>
        </w:rPr>
        <w:t xml:space="preserve">The following capabilities are built, working, and in use today. They constitute Phase 1 of the SamAI programme — a complete, operational foundation.</w:t>
      </w:r>
    </w:p>
    <w:p>
      <w:pPr>
        <w:pStyle w:val="Heading2"/>
        <w:spacing w:after="90" w:before="220"/>
      </w:pPr>
      <w:r>
        <w:rPr>
          <w:rFonts w:ascii="Calibri" w:cs="Calibri" w:eastAsia="Calibri" w:hAnsi="Calibri"/>
          <w:b/>
          <w:bCs/>
          <w:color w:val="1B4F72"/>
          <w:sz w:val="24"/>
          <w:szCs w:val="24"/>
        </w:rPr>
        <w:t xml:space="preserve">5.1  Weather briefing</w:t>
      </w:r>
    </w:p>
    <w:p>
      <w:pPr>
        <w:pStyle w:val="ListParagraph"/>
        <w:numPr>
          <w:ilvl w:val="0"/>
          <w:numId w:val="2"/>
        </w:numPr>
        <w:spacing w:after="70" w:line="268"/>
      </w:pPr>
      <w:r>
        <w:rPr>
          <w:rFonts w:ascii="Calibri" w:cs="Calibri" w:eastAsia="Calibri" w:hAnsi="Calibri"/>
          <w:b/>
          <w:bCs/>
          <w:color w:val="0F3460"/>
          <w:sz w:val="21"/>
          <w:szCs w:val="21"/>
        </w:rPr>
        <w:t xml:space="preserve">METAR / TAF briefing. </w:t>
      </w:r>
      <w:r>
        <w:rPr>
          <w:rFonts w:ascii="Calibri" w:cs="Calibri" w:eastAsia="Calibri" w:hAnsi="Calibri"/>
          <w:color w:val="1A1A2E"/>
          <w:sz w:val="21"/>
          <w:szCs w:val="21"/>
        </w:rPr>
        <w:t xml:space="preserve">A consolidated table and card view of live METAR data for all key airfields — wind, visibility, cloud, temperature/dew point, QNH and weather conditions — with automatic flight-category (VFR/MVFR/IFR/LIFR) indication and stale-data highlighting.</w:t>
      </w:r>
    </w:p>
    <w:p>
      <w:pPr>
        <w:pStyle w:val="ListParagraph"/>
        <w:numPr>
          <w:ilvl w:val="0"/>
          <w:numId w:val="2"/>
        </w:numPr>
        <w:spacing w:after="70" w:line="268"/>
      </w:pPr>
      <w:r>
        <w:rPr>
          <w:rFonts w:ascii="Calibri" w:cs="Calibri" w:eastAsia="Calibri" w:hAnsi="Calibri"/>
          <w:b/>
          <w:bCs/>
          <w:color w:val="0F3460"/>
          <w:sz w:val="21"/>
          <w:szCs w:val="21"/>
        </w:rPr>
        <w:t xml:space="preserve">Decoded reports. </w:t>
      </w:r>
      <w:r>
        <w:rPr>
          <w:rFonts w:ascii="Calibri" w:cs="Calibri" w:eastAsia="Calibri" w:hAnsi="Calibri"/>
          <w:color w:val="1A1A2E"/>
          <w:sz w:val="21"/>
          <w:szCs w:val="21"/>
        </w:rPr>
        <w:t xml:space="preserve">Combined raw and decoded METAR and TAF viewing per airfield, including a dedicated weather-detail modal.</w:t>
      </w:r>
    </w:p>
    <w:p>
      <w:pPr>
        <w:pStyle w:val="ListParagraph"/>
        <w:numPr>
          <w:ilvl w:val="0"/>
          <w:numId w:val="2"/>
        </w:numPr>
        <w:spacing w:after="70" w:line="268"/>
      </w:pPr>
      <w:r>
        <w:rPr>
          <w:rFonts w:ascii="Calibri" w:cs="Calibri" w:eastAsia="Calibri" w:hAnsi="Calibri"/>
          <w:b/>
          <w:bCs/>
          <w:color w:val="0F3460"/>
          <w:sz w:val="21"/>
          <w:szCs w:val="21"/>
        </w:rPr>
        <w:t xml:space="preserve">METAR history charts. </w:t>
      </w:r>
      <w:r>
        <w:rPr>
          <w:rFonts w:ascii="Calibri" w:cs="Calibri" w:eastAsia="Calibri" w:hAnsi="Calibri"/>
          <w:color w:val="1A1A2E"/>
          <w:sz w:val="21"/>
          <w:szCs w:val="21"/>
        </w:rPr>
        <w:t xml:space="preserve">Interactive historical charts — wind speed and direction, visibility, temperature and dew point, and QNH over selectable periods (up to one year) — drawn from continuously logged observation history.</w:t>
      </w:r>
    </w:p>
    <w:p>
      <w:pPr>
        <w:pStyle w:val="ListParagraph"/>
        <w:numPr>
          <w:ilvl w:val="0"/>
          <w:numId w:val="2"/>
        </w:numPr>
        <w:spacing w:after="70" w:line="268"/>
      </w:pPr>
      <w:r>
        <w:rPr>
          <w:rFonts w:ascii="Calibri" w:cs="Calibri" w:eastAsia="Calibri" w:hAnsi="Calibri"/>
          <w:b/>
          <w:bCs/>
          <w:color w:val="0F3460"/>
          <w:sz w:val="21"/>
          <w:szCs w:val="21"/>
        </w:rPr>
        <w:t xml:space="preserve">Manual entry. </w:t>
      </w:r>
      <w:r>
        <w:rPr>
          <w:rFonts w:ascii="Calibri" w:cs="Calibri" w:eastAsia="Calibri" w:hAnsi="Calibri"/>
          <w:color w:val="1A1A2E"/>
          <w:sz w:val="21"/>
          <w:szCs w:val="21"/>
        </w:rPr>
        <w:t xml:space="preserve">Support for manual observation entry at airfields where an automated feed is not available (e.g. Dukhan), with initials tracking and edit history.</w:t>
      </w:r>
    </w:p>
    <w:p>
      <w:pPr>
        <w:pStyle w:val="Heading2"/>
        <w:spacing w:after="90" w:before="220"/>
      </w:pPr>
      <w:r>
        <w:rPr>
          <w:rFonts w:ascii="Calibri" w:cs="Calibri" w:eastAsia="Calibri" w:hAnsi="Calibri"/>
          <w:b/>
          <w:bCs/>
          <w:color w:val="1B4F72"/>
          <w:sz w:val="24"/>
          <w:szCs w:val="24"/>
        </w:rPr>
        <w:t xml:space="preserve">5.2  Airspace &amp; navigation</w:t>
      </w:r>
    </w:p>
    <w:p>
      <w:pPr>
        <w:pStyle w:val="ListParagraph"/>
        <w:numPr>
          <w:ilvl w:val="0"/>
          <w:numId w:val="2"/>
        </w:numPr>
        <w:spacing w:after="70" w:line="268"/>
      </w:pPr>
      <w:r>
        <w:rPr>
          <w:rFonts w:ascii="Calibri" w:cs="Calibri" w:eastAsia="Calibri" w:hAnsi="Calibri"/>
          <w:b/>
          <w:bCs/>
          <w:color w:val="0F3460"/>
          <w:sz w:val="21"/>
          <w:szCs w:val="21"/>
        </w:rPr>
        <w:t xml:space="preserve">Qatar Airspace Map (P/R/D). </w:t>
      </w:r>
      <w:r>
        <w:rPr>
          <w:rFonts w:ascii="Calibri" w:cs="Calibri" w:eastAsia="Calibri" w:hAnsi="Calibri"/>
          <w:color w:val="1A1A2E"/>
          <w:sz w:val="21"/>
          <w:szCs w:val="21"/>
        </w:rPr>
        <w:t xml:space="preserve">An interactive map of Qatar's prohibited, restricted and danger areas, parsed directly from the official Qatar AIP ENR 5.1 and refreshed automatically on every AIRAC cycle.</w:t>
      </w:r>
    </w:p>
    <w:p>
      <w:pPr>
        <w:pStyle w:val="ListParagraph"/>
        <w:numPr>
          <w:ilvl w:val="0"/>
          <w:numId w:val="2"/>
        </w:numPr>
        <w:spacing w:after="70" w:line="268"/>
      </w:pPr>
      <w:r>
        <w:rPr>
          <w:rFonts w:ascii="Calibri" w:cs="Calibri" w:eastAsia="Calibri" w:hAnsi="Calibri"/>
          <w:b/>
          <w:bCs/>
          <w:color w:val="0F3460"/>
          <w:sz w:val="21"/>
          <w:szCs w:val="21"/>
        </w:rPr>
        <w:t xml:space="preserve">FIR &amp; EEZ boundaries. </w:t>
      </w:r>
      <w:r>
        <w:rPr>
          <w:rFonts w:ascii="Calibri" w:cs="Calibri" w:eastAsia="Calibri" w:hAnsi="Calibri"/>
          <w:color w:val="1A1A2E"/>
          <w:sz w:val="21"/>
          <w:szCs w:val="21"/>
        </w:rPr>
        <w:t xml:space="preserve">Doha FIR lateral limits rendered accurately, with the coastal and land portions traced to the real coastline, plus the Qatar EEZ boundary.</w:t>
      </w:r>
    </w:p>
    <w:p>
      <w:pPr>
        <w:pStyle w:val="ListParagraph"/>
        <w:numPr>
          <w:ilvl w:val="0"/>
          <w:numId w:val="2"/>
        </w:numPr>
        <w:spacing w:after="70" w:line="268"/>
      </w:pPr>
      <w:r>
        <w:rPr>
          <w:rFonts w:ascii="Calibri" w:cs="Calibri" w:eastAsia="Calibri" w:hAnsi="Calibri"/>
          <w:b/>
          <w:bCs/>
          <w:color w:val="0F3460"/>
          <w:sz w:val="21"/>
          <w:szCs w:val="21"/>
        </w:rPr>
        <w:t xml:space="preserve">Reporting points. </w:t>
      </w:r>
      <w:r>
        <w:rPr>
          <w:rFonts w:ascii="Calibri" w:cs="Calibri" w:eastAsia="Calibri" w:hAnsi="Calibri"/>
          <w:color w:val="1A1A2E"/>
          <w:sz w:val="21"/>
          <w:szCs w:val="21"/>
        </w:rPr>
        <w:t xml:space="preserve">Fixed-wing (VFR) and helicopter reporting points displayed as independent, toggleable map layers with full point names and coordinates.</w:t>
      </w:r>
    </w:p>
    <w:p>
      <w:pPr>
        <w:pStyle w:val="ListParagraph"/>
        <w:numPr>
          <w:ilvl w:val="0"/>
          <w:numId w:val="2"/>
        </w:numPr>
        <w:spacing w:after="70" w:line="268"/>
      </w:pPr>
      <w:r>
        <w:rPr>
          <w:rFonts w:ascii="Calibri" w:cs="Calibri" w:eastAsia="Calibri" w:hAnsi="Calibri"/>
          <w:b/>
          <w:bCs/>
          <w:color w:val="0F3460"/>
          <w:sz w:val="21"/>
          <w:szCs w:val="21"/>
        </w:rPr>
        <w:t xml:space="preserve">Wind sector grid / winds aloft. </w:t>
      </w:r>
      <w:r>
        <w:rPr>
          <w:rFonts w:ascii="Calibri" w:cs="Calibri" w:eastAsia="Calibri" w:hAnsi="Calibri"/>
          <w:color w:val="1A1A2E"/>
          <w:sz w:val="21"/>
          <w:szCs w:val="21"/>
        </w:rPr>
        <w:t xml:space="preserve">A wind sector grid driven by upper-wind model data, supporting winds-aloft awareness across the region.</w:t>
      </w:r>
    </w:p>
    <w:p>
      <w:pPr>
        <w:pStyle w:val="ListParagraph"/>
        <w:numPr>
          <w:ilvl w:val="0"/>
          <w:numId w:val="2"/>
        </w:numPr>
        <w:spacing w:after="70" w:line="268"/>
      </w:pPr>
      <w:r>
        <w:rPr>
          <w:rFonts w:ascii="Calibri" w:cs="Calibri" w:eastAsia="Calibri" w:hAnsi="Calibri"/>
          <w:b/>
          <w:bCs/>
          <w:color w:val="0F3460"/>
          <w:sz w:val="21"/>
          <w:szCs w:val="21"/>
        </w:rPr>
        <w:t xml:space="preserve">Crosswind calculator. </w:t>
      </w:r>
      <w:r>
        <w:rPr>
          <w:rFonts w:ascii="Calibri" w:cs="Calibri" w:eastAsia="Calibri" w:hAnsi="Calibri"/>
          <w:color w:val="1A1A2E"/>
          <w:sz w:val="21"/>
          <w:szCs w:val="21"/>
        </w:rPr>
        <w:t xml:space="preserve">An integrated crosswind and headwind calculator to support runway-in-use assessment.</w:t>
      </w:r>
    </w:p>
    <w:p>
      <w:pPr>
        <w:pStyle w:val="Heading2"/>
        <w:spacing w:after="90" w:before="220"/>
      </w:pPr>
      <w:r>
        <w:rPr>
          <w:rFonts w:ascii="Calibri" w:cs="Calibri" w:eastAsia="Calibri" w:hAnsi="Calibri"/>
          <w:b/>
          <w:bCs/>
          <w:color w:val="1B4F72"/>
          <w:sz w:val="24"/>
          <w:szCs w:val="24"/>
        </w:rPr>
        <w:t xml:space="preserve">5.3  Alerting &amp; currency</w:t>
      </w:r>
    </w:p>
    <w:p>
      <w:pPr>
        <w:pStyle w:val="ListParagraph"/>
        <w:numPr>
          <w:ilvl w:val="0"/>
          <w:numId w:val="2"/>
        </w:numPr>
        <w:spacing w:after="70" w:line="268"/>
      </w:pPr>
      <w:r>
        <w:rPr>
          <w:rFonts w:ascii="Calibri" w:cs="Calibri" w:eastAsia="Calibri" w:hAnsi="Calibri"/>
          <w:b/>
          <w:bCs/>
          <w:color w:val="0F3460"/>
          <w:sz w:val="21"/>
          <w:szCs w:val="21"/>
        </w:rPr>
        <w:t xml:space="preserve">NOTAM badge system. </w:t>
      </w:r>
      <w:r>
        <w:rPr>
          <w:rFonts w:ascii="Calibri" w:cs="Calibri" w:eastAsia="Calibri" w:hAnsi="Calibri"/>
          <w:color w:val="1A1A2E"/>
          <w:sz w:val="21"/>
          <w:szCs w:val="21"/>
        </w:rPr>
        <w:t xml:space="preserve">A NOTAM badge and cross-referencing system that surfaces relevant notices against the airspace picture and signals unseen items to the user.</w:t>
      </w:r>
    </w:p>
    <w:p>
      <w:pPr>
        <w:pStyle w:val="ListParagraph"/>
        <w:numPr>
          <w:ilvl w:val="0"/>
          <w:numId w:val="2"/>
        </w:numPr>
        <w:spacing w:after="70" w:line="268"/>
      </w:pPr>
      <w:r>
        <w:rPr>
          <w:rFonts w:ascii="Calibri" w:cs="Calibri" w:eastAsia="Calibri" w:hAnsi="Calibri"/>
          <w:b/>
          <w:bCs/>
          <w:color w:val="0F3460"/>
          <w:sz w:val="21"/>
          <w:szCs w:val="21"/>
        </w:rPr>
        <w:t xml:space="preserve">Significant-weather warnings. </w:t>
      </w:r>
      <w:r>
        <w:rPr>
          <w:rFonts w:ascii="Calibri" w:cs="Calibri" w:eastAsia="Calibri" w:hAnsi="Calibri"/>
          <w:color w:val="1A1A2E"/>
          <w:sz w:val="21"/>
          <w:szCs w:val="21"/>
        </w:rPr>
        <w:t xml:space="preserve">SIGMET/AIRMET awareness for the Gulf flight information regions, surfaced as an active-warnings banner.</w:t>
      </w:r>
    </w:p>
    <w:p>
      <w:pPr>
        <w:pStyle w:val="ListParagraph"/>
        <w:numPr>
          <w:ilvl w:val="0"/>
          <w:numId w:val="2"/>
        </w:numPr>
        <w:spacing w:after="70" w:line="268"/>
      </w:pPr>
      <w:r>
        <w:rPr>
          <w:rFonts w:ascii="Calibri" w:cs="Calibri" w:eastAsia="Calibri" w:hAnsi="Calibri"/>
          <w:b/>
          <w:bCs/>
          <w:color w:val="0F3460"/>
          <w:sz w:val="21"/>
          <w:szCs w:val="21"/>
        </w:rPr>
        <w:t xml:space="preserve">Automated currency. </w:t>
      </w:r>
      <w:r>
        <w:rPr>
          <w:rFonts w:ascii="Calibri" w:cs="Calibri" w:eastAsia="Calibri" w:hAnsi="Calibri"/>
          <w:color w:val="1A1A2E"/>
          <w:sz w:val="21"/>
          <w:szCs w:val="21"/>
        </w:rPr>
        <w:t xml:space="preserve">Continuous source monitoring with an automatic AIRAC re-check, so airspace data currency is maintained without manual intervention.</w:t>
      </w:r>
    </w:p>
    <w:p>
      <w:pPr>
        <w:pStyle w:val="Heading2"/>
        <w:spacing w:after="90" w:before="220"/>
      </w:pPr>
      <w:r>
        <w:rPr>
          <w:rFonts w:ascii="Calibri" w:cs="Calibri" w:eastAsia="Calibri" w:hAnsi="Calibri"/>
          <w:b/>
          <w:bCs/>
          <w:color w:val="1B4F72"/>
          <w:sz w:val="24"/>
          <w:szCs w:val="24"/>
        </w:rPr>
        <w:t xml:space="preserve">5.4  Administration &amp; security</w:t>
      </w:r>
    </w:p>
    <w:p>
      <w:pPr>
        <w:pStyle w:val="ListParagraph"/>
        <w:numPr>
          <w:ilvl w:val="0"/>
          <w:numId w:val="2"/>
        </w:numPr>
        <w:spacing w:after="70" w:line="268"/>
      </w:pPr>
      <w:r>
        <w:rPr>
          <w:rFonts w:ascii="Calibri" w:cs="Calibri" w:eastAsia="Calibri" w:hAnsi="Calibri"/>
          <w:b/>
          <w:bCs/>
          <w:color w:val="0F3460"/>
          <w:sz w:val="21"/>
          <w:szCs w:val="21"/>
        </w:rPr>
        <w:t xml:space="preserve">Admin dashboard. </w:t>
      </w:r>
      <w:r>
        <w:rPr>
          <w:rFonts w:ascii="Calibri" w:cs="Calibri" w:eastAsia="Calibri" w:hAnsi="Calibri"/>
          <w:color w:val="1A1A2E"/>
          <w:sz w:val="21"/>
          <w:szCs w:val="21"/>
        </w:rPr>
        <w:t xml:space="preserve">A full administrative dashboard covering users, airfields, weather, NOTAMs, warning sources, pre-flight briefing content and system health monitoring.</w:t>
      </w:r>
    </w:p>
    <w:p>
      <w:pPr>
        <w:pStyle w:val="ListParagraph"/>
        <w:numPr>
          <w:ilvl w:val="0"/>
          <w:numId w:val="2"/>
        </w:numPr>
        <w:spacing w:after="70" w:line="268"/>
      </w:pPr>
      <w:r>
        <w:rPr>
          <w:rFonts w:ascii="Calibri" w:cs="Calibri" w:eastAsia="Calibri" w:hAnsi="Calibri"/>
          <w:b/>
          <w:bCs/>
          <w:color w:val="0F3460"/>
          <w:sz w:val="21"/>
          <w:szCs w:val="21"/>
        </w:rPr>
        <w:t xml:space="preserve">Role-based access control. </w:t>
      </w:r>
      <w:r>
        <w:rPr>
          <w:rFonts w:ascii="Calibri" w:cs="Calibri" w:eastAsia="Calibri" w:hAnsi="Calibri"/>
          <w:color w:val="1A1A2E"/>
          <w:sz w:val="21"/>
          <w:szCs w:val="21"/>
        </w:rPr>
        <w:t xml:space="preserve">Named accounts with defined roles (administrator, editor, viewer) and a per-user, per-airfield permission matrix.</w:t>
      </w:r>
    </w:p>
    <w:p>
      <w:pPr>
        <w:pStyle w:val="ListParagraph"/>
        <w:numPr>
          <w:ilvl w:val="0"/>
          <w:numId w:val="2"/>
        </w:numPr>
        <w:spacing w:after="70" w:line="268"/>
      </w:pPr>
      <w:r>
        <w:rPr>
          <w:rFonts w:ascii="Calibri" w:cs="Calibri" w:eastAsia="Calibri" w:hAnsi="Calibri"/>
          <w:b/>
          <w:bCs/>
          <w:color w:val="0F3460"/>
          <w:sz w:val="21"/>
          <w:szCs w:val="21"/>
        </w:rPr>
        <w:t xml:space="preserve">Per-user preferences. </w:t>
      </w:r>
      <w:r>
        <w:rPr>
          <w:rFonts w:ascii="Calibri" w:cs="Calibri" w:eastAsia="Calibri" w:hAnsi="Calibri"/>
          <w:color w:val="1A1A2E"/>
          <w:sz w:val="21"/>
          <w:szCs w:val="21"/>
        </w:rPr>
        <w:t xml:space="preserve">Per-user interface preferences, including selectable alternate airfields.</w:t>
      </w:r>
    </w:p>
    <w:p>
      <w:pPr>
        <w:pStyle w:val="ListParagraph"/>
        <w:numPr>
          <w:ilvl w:val="0"/>
          <w:numId w:val="2"/>
        </w:numPr>
        <w:spacing w:after="70" w:line="268"/>
      </w:pPr>
      <w:r>
        <w:rPr>
          <w:rFonts w:ascii="Calibri" w:cs="Calibri" w:eastAsia="Calibri" w:hAnsi="Calibri"/>
          <w:b/>
          <w:bCs/>
          <w:color w:val="0F3460"/>
          <w:sz w:val="21"/>
          <w:szCs w:val="21"/>
        </w:rPr>
        <w:t xml:space="preserve">One-session-per-user security. </w:t>
      </w:r>
      <w:r>
        <w:rPr>
          <w:rFonts w:ascii="Calibri" w:cs="Calibri" w:eastAsia="Calibri" w:hAnsi="Calibri"/>
          <w:color w:val="1A1A2E"/>
          <w:sz w:val="21"/>
          <w:szCs w:val="21"/>
        </w:rPr>
        <w:t xml:space="preserve">One active session per user, enforced centrally, so a login on a new device signs out the previous session — protecting against credential sharing and stale access.</w:t>
      </w:r>
    </w:p>
    <w:p>
      <w:pPr>
        <w:spacing w:after="70"/>
      </w:pPr>
    </w:p>
    <w:tbl>
      <w:tblPr>
        <w:tblW w:type="pct" w:w="100%"/>
        <w:tblBorders>
          <w:top w:val="single" w:color="0F3460" w:sz="2"/>
          <w:left w:val="single" w:color="8ECAE6" w:sz="18"/>
          <w:bottom w:val="single" w:color="0F3460" w:sz="2"/>
          <w:right w:val="single" w:color="0F3460" w:sz="2"/>
          <w:insideH w:val="none"/>
          <w:insideV w:val="none"/>
        </w:tblBorders>
      </w:tblPr>
      <w:tblGrid>
        <w:gridCol w:w="100"/>
      </w:tblGrid>
      <w:tr>
        <w:tc>
          <w:tcPr>
            <w:shd w:fill="EEF3F8" w:color="auto" w:val="clear"/>
            <w:tcMar>
              <w:top w:type="dxa" w:w="120"/>
              <w:left w:type="dxa" w:w="160"/>
              <w:bottom w:type="dxa" w:w="120"/>
              <w:right w:type="dxa" w:w="160"/>
            </w:tcMar>
          </w:tcPr>
          <w:p>
            <w:pPr>
              <w:spacing w:after="60"/>
            </w:pPr>
            <w:r>
              <w:rPr>
                <w:rFonts w:ascii="Calibri" w:cs="Calibri" w:eastAsia="Calibri" w:hAnsi="Calibri"/>
                <w:b/>
                <w:bCs/>
                <w:caps/>
                <w:color w:val="0F3460"/>
                <w:sz w:val="21"/>
                <w:szCs w:val="21"/>
              </w:rPr>
              <w:t xml:space="preserve">Phase 1 status</w:t>
            </w:r>
          </w:p>
          <w:p>
            <w:r>
              <w:rPr>
                <w:rFonts w:ascii="Calibri" w:cs="Calibri" w:eastAsia="Calibri" w:hAnsi="Calibri"/>
                <w:color w:val="1A1A2E"/>
                <w:sz w:val="21"/>
                <w:szCs w:val="21"/>
              </w:rPr>
              <w:t xml:space="preserve">Every feature listed above is already operational. Collectively they prove the platform end-to-end — data ingestion, decoding, airspace synchronisation, alerting, visualisation, and secure multi-user access — and establish the foundation for the roadmap that follows.</w:t>
            </w:r>
          </w:p>
        </w:tc>
      </w:tr>
    </w:tbl>
    <w:p>
      <w:r>
        <w:br w:type="page"/>
      </w:r>
    </w:p>
    <w:p>
      <w:pPr>
        <w:pStyle w:val="Heading1"/>
        <w:pBdr>
          <w:bottom w:val="single" w:color="0F3460" w:sz="12" w:space="4"/>
        </w:pBdr>
        <w:spacing w:after="120" w:before="320"/>
      </w:pPr>
      <w:r>
        <w:rPr>
          <w:rFonts w:ascii="Calibri" w:cs="Calibri" w:eastAsia="Calibri" w:hAnsi="Calibri"/>
          <w:b/>
          <w:bCs/>
          <w:color w:val="8ECAE6"/>
          <w:sz w:val="30"/>
          <w:szCs w:val="30"/>
        </w:rPr>
        <w:t xml:space="preserve">6.  </w:t>
      </w:r>
      <w:r>
        <w:rPr>
          <w:rFonts w:ascii="Calibri" w:cs="Calibri" w:eastAsia="Calibri" w:hAnsi="Calibri"/>
          <w:b/>
          <w:bCs/>
          <w:color w:val="0F3460"/>
          <w:sz w:val="30"/>
          <w:szCs w:val="30"/>
        </w:rPr>
        <w:t xml:space="preserve">Future Roadmap — Beyond Phase 1</w:t>
      </w:r>
    </w:p>
    <w:p>
      <w:pPr>
        <w:spacing w:after="140" w:line="276"/>
        <w:jc w:val="both"/>
      </w:pPr>
      <w:r>
        <w:rPr>
          <w:rFonts w:ascii="Calibri" w:cs="Calibri" w:eastAsia="Calibri" w:hAnsi="Calibri"/>
          <w:color w:val="1A1A2E"/>
          <w:sz w:val="21"/>
          <w:szCs w:val="21"/>
        </w:rPr>
        <w:t xml:space="preserve">Phase 1 delivers a proven operational core. The roadmap below sets out the strategic development plan that builds on that core, transforming SamAI from a briefing console into a comprehensive national aviation-intelligence platform. Each item is a defined, deliverable increment.</w:t>
      </w:r>
    </w:p>
    <w:p>
      <w:pPr>
        <w:pStyle w:val="Heading2"/>
        <w:spacing w:after="90" w:before="220"/>
      </w:pPr>
      <w:r>
        <w:rPr>
          <w:rFonts w:ascii="Calibri" w:cs="Calibri" w:eastAsia="Calibri" w:hAnsi="Calibri"/>
          <w:b/>
          <w:bCs/>
          <w:color w:val="1B4F72"/>
          <w:sz w:val="24"/>
          <w:szCs w:val="24"/>
        </w:rPr>
        <w:t xml:space="preserve">6.1  Intelligence &amp; user experience</w:t>
      </w:r>
    </w:p>
    <w:tbl>
      <w:tblPr>
        <w:tblW w:type="pct" w:w="100%"/>
        <w:tblBorders>
          <w:top w:val="single" w:color="AEBECF" w:sz="2"/>
          <w:left w:val="single" w:color="AEBECF" w:sz="2"/>
          <w:bottom w:val="single" w:color="AEBECF" w:sz="2"/>
          <w:right w:val="single" w:color="AEBECF" w:sz="2"/>
          <w:insideH w:val="single" w:color="AEBECF" w:sz="1"/>
          <w:insideV w:val="single" w:color="AEBECF" w:sz="1"/>
        </w:tblBorders>
      </w:tblPr>
      <w:tblGrid>
        <w:gridCol w:w="100"/>
        <w:gridCol w:w="100"/>
      </w:tblGrid>
      <w:tr>
        <w:trPr>
          <w:tblHeader/>
        </w:trPr>
        <w:tc>
          <w:tcPr>
            <w:tcW w:type="pct" w:w="34%"/>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Planned capability</w:t>
            </w:r>
          </w:p>
        </w:tc>
        <w:tc>
          <w:tcPr>
            <w:tcW w:type="pct" w:w="66%"/>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Strategic value</w:t>
            </w:r>
          </w:p>
        </w:tc>
      </w:tr>
      <w:tr>
        <w:tc>
          <w:tcPr>
            <w:tcW w:type="pct" w:w="34%"/>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AI Weather Interpreter</w:t>
            </w:r>
          </w:p>
        </w:tc>
        <w:tc>
          <w:tcPr>
            <w:tcW w:type="pct" w:w="66%"/>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Plain-language interpretation and risk summarisation of the combined weather and airspace picture, accelerating decisions for non-specialist users.</w:t>
            </w:r>
          </w:p>
        </w:tc>
      </w:tr>
      <w:tr>
        <w:tc>
          <w:tcPr>
            <w:tcW w:type="pct" w:w="34%"/>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Progressive Web App (mobile)</w:t>
            </w:r>
          </w:p>
        </w:tc>
        <w:tc>
          <w:tcPr>
            <w:tcW w:type="pct" w:w="66%"/>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Installable, offline-capable mobile access for aircrew and duty staff in the field.</w:t>
            </w:r>
          </w:p>
        </w:tc>
      </w:tr>
      <w:tr>
        <w:tc>
          <w:tcPr>
            <w:tcW w:type="pct" w:w="34%"/>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Arabic language support</w:t>
            </w:r>
          </w:p>
        </w:tc>
        <w:tc>
          <w:tcPr>
            <w:tcW w:type="pct" w:w="66%"/>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Full bilingual operation, broadening national and regional accessibility.</w:t>
            </w:r>
          </w:p>
        </w:tc>
      </w:tr>
      <w:tr>
        <w:tc>
          <w:tcPr>
            <w:tcW w:type="pct" w:w="34%"/>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SamAI rebrand</w:t>
            </w:r>
          </w:p>
        </w:tc>
        <w:tc>
          <w:tcPr>
            <w:tcW w:type="pct" w:w="66%"/>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Consolidation under a single national platform identity as capability matures.</w:t>
            </w:r>
          </w:p>
        </w:tc>
      </w:tr>
    </w:tbl>
    <w:p>
      <w:pPr>
        <w:spacing w:after="70"/>
      </w:pPr>
    </w:p>
    <w:p>
      <w:pPr>
        <w:pStyle w:val="Heading2"/>
        <w:spacing w:after="90" w:before="220"/>
      </w:pPr>
      <w:r>
        <w:rPr>
          <w:rFonts w:ascii="Calibri" w:cs="Calibri" w:eastAsia="Calibri" w:hAnsi="Calibri"/>
          <w:b/>
          <w:bCs/>
          <w:color w:val="1B4F72"/>
          <w:sz w:val="24"/>
          <w:szCs w:val="24"/>
        </w:rPr>
        <w:t xml:space="preserve">6.2  Alerting &amp; distribution</w:t>
      </w:r>
    </w:p>
    <w:tbl>
      <w:tblPr>
        <w:tblW w:type="pct" w:w="100%"/>
        <w:tblBorders>
          <w:top w:val="single" w:color="AEBECF" w:sz="2"/>
          <w:left w:val="single" w:color="AEBECF" w:sz="2"/>
          <w:bottom w:val="single" w:color="AEBECF" w:sz="2"/>
          <w:right w:val="single" w:color="AEBECF" w:sz="2"/>
          <w:insideH w:val="single" w:color="AEBECF" w:sz="1"/>
          <w:insideV w:val="single" w:color="AEBECF" w:sz="1"/>
        </w:tblBorders>
      </w:tblPr>
      <w:tblGrid>
        <w:gridCol w:w="100"/>
        <w:gridCol w:w="100"/>
      </w:tblGrid>
      <w:tr>
        <w:trPr>
          <w:tblHeader/>
        </w:trPr>
        <w:tc>
          <w:tcPr>
            <w:tcW w:type="pct" w:w="34%"/>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Planned capability</w:t>
            </w:r>
          </w:p>
        </w:tc>
        <w:tc>
          <w:tcPr>
            <w:tcW w:type="pct" w:w="66%"/>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Strategic value</w:t>
            </w:r>
          </w:p>
        </w:tc>
      </w:tr>
      <w:tr>
        <w:tc>
          <w:tcPr>
            <w:tcW w:type="pct" w:w="34%"/>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Telegram / WhatsApp alerts</w:t>
            </w:r>
          </w:p>
        </w:tc>
        <w:tc>
          <w:tcPr>
            <w:tcW w:type="pct" w:w="66%"/>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Push notification of significant weather and airspace changes to duty personnel outside the operations room.</w:t>
            </w:r>
          </w:p>
        </w:tc>
      </w:tr>
      <w:tr>
        <w:tc>
          <w:tcPr>
            <w:tcW w:type="pct" w:w="34%"/>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Dust / sandstorm alerts</w:t>
            </w:r>
          </w:p>
        </w:tc>
        <w:tc>
          <w:tcPr>
            <w:tcW w:type="pct" w:w="66%"/>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Region-specific hazard warning tuned to Gulf operating conditions.</w:t>
            </w:r>
          </w:p>
        </w:tc>
      </w:tr>
      <w:tr>
        <w:tc>
          <w:tcPr>
            <w:tcW w:type="pct" w:w="34%"/>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ATS routes with NOTAM-intersection alerts</w:t>
            </w:r>
          </w:p>
        </w:tc>
        <w:tc>
          <w:tcPr>
            <w:tcW w:type="pct" w:w="66%"/>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Automatic detection where a NOTAM affects a published air route, flagged proactively.</w:t>
            </w:r>
          </w:p>
        </w:tc>
      </w:tr>
    </w:tbl>
    <w:p>
      <w:pPr>
        <w:spacing w:after="70"/>
      </w:pPr>
    </w:p>
    <w:p>
      <w:pPr>
        <w:pStyle w:val="Heading2"/>
        <w:spacing w:after="90" w:before="220"/>
      </w:pPr>
      <w:r>
        <w:rPr>
          <w:rFonts w:ascii="Calibri" w:cs="Calibri" w:eastAsia="Calibri" w:hAnsi="Calibri"/>
          <w:b/>
          <w:bCs/>
          <w:color w:val="1B4F72"/>
          <w:sz w:val="24"/>
          <w:szCs w:val="24"/>
        </w:rPr>
        <w:t xml:space="preserve">6.3  Planning &amp; airspace depth</w:t>
      </w:r>
    </w:p>
    <w:tbl>
      <w:tblPr>
        <w:tblW w:type="pct" w:w="100%"/>
        <w:tblBorders>
          <w:top w:val="single" w:color="AEBECF" w:sz="2"/>
          <w:left w:val="single" w:color="AEBECF" w:sz="2"/>
          <w:bottom w:val="single" w:color="AEBECF" w:sz="2"/>
          <w:right w:val="single" w:color="AEBECF" w:sz="2"/>
          <w:insideH w:val="single" w:color="AEBECF" w:sz="1"/>
          <w:insideV w:val="single" w:color="AEBECF" w:sz="1"/>
        </w:tblBorders>
      </w:tblPr>
      <w:tblGrid>
        <w:gridCol w:w="100"/>
        <w:gridCol w:w="100"/>
      </w:tblGrid>
      <w:tr>
        <w:trPr>
          <w:tblHeader/>
        </w:trPr>
        <w:tc>
          <w:tcPr>
            <w:tcW w:type="pct" w:w="34%"/>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Planned capability</w:t>
            </w:r>
          </w:p>
        </w:tc>
        <w:tc>
          <w:tcPr>
            <w:tcW w:type="pct" w:w="66%"/>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Strategic value</w:t>
            </w:r>
          </w:p>
        </w:tc>
      </w:tr>
      <w:tr>
        <w:tc>
          <w:tcPr>
            <w:tcW w:type="pct" w:w="34%"/>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Flight-route weather</w:t>
            </w:r>
          </w:p>
        </w:tc>
        <w:tc>
          <w:tcPr>
            <w:tcW w:type="pct" w:w="66%"/>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Weather and hazard assessment along a planned route, not only at fixed airfields.</w:t>
            </w:r>
          </w:p>
        </w:tc>
      </w:tr>
      <w:tr>
        <w:tc>
          <w:tcPr>
            <w:tcW w:type="pct" w:w="34%"/>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CTR / TMA boundaries</w:t>
            </w:r>
          </w:p>
        </w:tc>
        <w:tc>
          <w:tcPr>
            <w:tcW w:type="pct" w:w="66%"/>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Deeper controlled-airspace representation on the map.</w:t>
            </w:r>
          </w:p>
        </w:tc>
      </w:tr>
      <w:tr>
        <w:tc>
          <w:tcPr>
            <w:tcW w:type="pct" w:w="34%"/>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Pre-Flight Briefing PDF</w:t>
            </w:r>
          </w:p>
        </w:tc>
        <w:tc>
          <w:tcPr>
            <w:tcW w:type="pct" w:w="66%"/>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One-click, shareable, archival briefing packages for operations and compliance.</w:t>
            </w:r>
          </w:p>
        </w:tc>
      </w:tr>
      <w:tr>
        <w:tc>
          <w:tcPr>
            <w:tcW w:type="pct" w:w="34%"/>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Density-altitude calculator</w:t>
            </w:r>
          </w:p>
        </w:tc>
        <w:tc>
          <w:tcPr>
            <w:tcW w:type="pct" w:w="66%"/>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Performance-critical planning tool for hot-and-high and offshore operations.</w:t>
            </w:r>
          </w:p>
        </w:tc>
      </w:tr>
    </w:tbl>
    <w:p>
      <w:pPr>
        <w:spacing w:after="80"/>
      </w:pPr>
    </w:p>
    <w:tbl>
      <w:tblPr>
        <w:tblW w:type="pct" w:w="100%"/>
        <w:tblBorders>
          <w:top w:val="single" w:color="0F3460" w:sz="2"/>
          <w:left w:val="single" w:color="8ECAE6" w:sz="18"/>
          <w:bottom w:val="single" w:color="0F3460" w:sz="2"/>
          <w:right w:val="single" w:color="0F3460" w:sz="2"/>
          <w:insideH w:val="none"/>
          <w:insideV w:val="none"/>
        </w:tblBorders>
      </w:tblPr>
      <w:tblGrid>
        <w:gridCol w:w="100"/>
      </w:tblGrid>
      <w:tr>
        <w:tc>
          <w:tcPr>
            <w:shd w:fill="EEF3F8" w:color="auto" w:val="clear"/>
            <w:tcMar>
              <w:top w:type="dxa" w:w="120"/>
              <w:left w:type="dxa" w:w="160"/>
              <w:bottom w:type="dxa" w:w="120"/>
              <w:right w:type="dxa" w:w="160"/>
            </w:tcMar>
          </w:tcPr>
          <w:p>
            <w:pPr>
              <w:spacing w:after="60"/>
            </w:pPr>
            <w:r>
              <w:rPr>
                <w:rFonts w:ascii="Calibri" w:cs="Calibri" w:eastAsia="Calibri" w:hAnsi="Calibri"/>
                <w:b/>
                <w:bCs/>
                <w:caps/>
                <w:color w:val="0F3460"/>
                <w:sz w:val="21"/>
                <w:szCs w:val="21"/>
              </w:rPr>
              <w:t xml:space="preserve">A phased national programme</w:t>
            </w:r>
          </w:p>
          <w:p>
            <w:r>
              <w:rPr>
                <w:rFonts w:ascii="Calibri" w:cs="Calibri" w:eastAsia="Calibri" w:hAnsi="Calibri"/>
                <w:color w:val="1A1A2E"/>
                <w:sz w:val="21"/>
                <w:szCs w:val="21"/>
              </w:rPr>
              <w:t xml:space="preserve">The roadmap is intentionally incremental: each phase delivers independent operational value while extending a single coherent platform. Phase 1 is complete; the items above define Phases 2 and beyond, to be sequenced against operational priority and available resources.</w:t>
            </w:r>
          </w:p>
        </w:tc>
      </w:tr>
    </w:tbl>
    <w:p>
      <w:r>
        <w:br w:type="page"/>
      </w:r>
    </w:p>
    <w:p>
      <w:pPr>
        <w:pStyle w:val="Heading1"/>
        <w:pBdr>
          <w:bottom w:val="single" w:color="0F3460" w:sz="12" w:space="4"/>
        </w:pBdr>
        <w:spacing w:after="120" w:before="320"/>
      </w:pPr>
      <w:r>
        <w:rPr>
          <w:rFonts w:ascii="Calibri" w:cs="Calibri" w:eastAsia="Calibri" w:hAnsi="Calibri"/>
          <w:b/>
          <w:bCs/>
          <w:color w:val="8ECAE6"/>
          <w:sz w:val="30"/>
          <w:szCs w:val="30"/>
        </w:rPr>
        <w:t xml:space="preserve">7.  </w:t>
      </w:r>
      <w:r>
        <w:rPr>
          <w:rFonts w:ascii="Calibri" w:cs="Calibri" w:eastAsia="Calibri" w:hAnsi="Calibri"/>
          <w:b/>
          <w:bCs/>
          <w:color w:val="0F3460"/>
          <w:sz w:val="30"/>
          <w:szCs w:val="30"/>
        </w:rPr>
        <w:t xml:space="preserve">Strategic Value &amp; Investment Case</w:t>
      </w:r>
    </w:p>
    <w:p>
      <w:pPr>
        <w:spacing w:after="160" w:line="288"/>
        <w:jc w:val="both"/>
      </w:pPr>
      <w:r>
        <w:rPr>
          <w:rFonts w:ascii="Calibri" w:cs="Calibri" w:eastAsia="Calibri" w:hAnsi="Calibri"/>
          <w:i/>
          <w:iCs/>
          <w:color w:val="1B4F72"/>
          <w:sz w:val="22"/>
          <w:szCs w:val="22"/>
        </w:rPr>
        <w:t xml:space="preserve">SamAI is a unique, Qatar-built aviation-intelligence asset — sovereign, expandable, and delivered at a fraction of the cost of foreign commercial alternatives.</w:t>
      </w:r>
    </w:p>
    <w:p>
      <w:pPr>
        <w:pStyle w:val="Heading2"/>
        <w:spacing w:after="90" w:before="220"/>
      </w:pPr>
      <w:r>
        <w:rPr>
          <w:rFonts w:ascii="Calibri" w:cs="Calibri" w:eastAsia="Calibri" w:hAnsi="Calibri"/>
          <w:b/>
          <w:bCs/>
          <w:color w:val="1B4F72"/>
          <w:sz w:val="24"/>
          <w:szCs w:val="24"/>
        </w:rPr>
        <w:t xml:space="preserve">7.1  A sovereign national capability</w:t>
      </w:r>
    </w:p>
    <w:p>
      <w:pPr>
        <w:spacing w:after="140" w:line="276"/>
        <w:jc w:val="both"/>
      </w:pPr>
      <w:r>
        <w:rPr>
          <w:rFonts w:ascii="Calibri" w:cs="Calibri" w:eastAsia="Calibri" w:hAnsi="Calibri"/>
          <w:color w:val="1A1A2E"/>
          <w:sz w:val="21"/>
          <w:szCs w:val="21"/>
        </w:rPr>
        <w:t xml:space="preserve">Commercial aviation-weather and flight-planning platforms are operated by foreign vendors, on foreign infrastructure, under foreign commercial and regulatory control. For a safety-critical and strategically sensitive function, that dependency is a vulnerability. SamAI is designed and controlled within Qatar, drawing its airspace data from Qatar's own official AIP. The State owns the capability, the data pipeline, and the roadmap — and can extend or restrict it entirely on its own terms.</w:t>
      </w:r>
    </w:p>
    <w:p>
      <w:pPr>
        <w:pStyle w:val="Heading2"/>
        <w:spacing w:after="90" w:before="220"/>
      </w:pPr>
      <w:r>
        <w:rPr>
          <w:rFonts w:ascii="Calibri" w:cs="Calibri" w:eastAsia="Calibri" w:hAnsi="Calibri"/>
          <w:b/>
          <w:bCs/>
          <w:color w:val="1B4F72"/>
          <w:sz w:val="24"/>
          <w:szCs w:val="24"/>
        </w:rPr>
        <w:t xml:space="preserve">7.2  Cost advantage</w:t>
      </w:r>
    </w:p>
    <w:p>
      <w:pPr>
        <w:spacing w:after="140" w:line="276"/>
        <w:jc w:val="both"/>
      </w:pPr>
      <w:r>
        <w:rPr>
          <w:rFonts w:ascii="Calibri" w:cs="Calibri" w:eastAsia="Calibri" w:hAnsi="Calibri"/>
          <w:color w:val="1A1A2E"/>
          <w:sz w:val="21"/>
          <w:szCs w:val="21"/>
        </w:rPr>
        <w:t xml:space="preserve">Equivalent commercial aviation-weather and flight-planning services are typically licensed per seat or per operation on recurring international subscriptions, accumulating substantial and open-ended annual cost across a national user base. SamAI replaces that recurring outflow with a controlled national development investment that builds a permanent, owned asset. Every capability added to the platform is retained by the State rather than rented indefinitely.</w:t>
      </w:r>
    </w:p>
    <w:tbl>
      <w:tblPr>
        <w:tblW w:type="pct" w:w="100%"/>
        <w:tblBorders>
          <w:top w:val="single" w:color="AEBECF" w:sz="2"/>
          <w:left w:val="single" w:color="AEBECF" w:sz="2"/>
          <w:bottom w:val="single" w:color="AEBECF" w:sz="2"/>
          <w:right w:val="single" w:color="AEBECF" w:sz="2"/>
          <w:insideH w:val="single" w:color="AEBECF" w:sz="1"/>
          <w:insideV w:val="single" w:color="AEBECF" w:sz="1"/>
        </w:tblBorders>
      </w:tblPr>
      <w:tblGrid>
        <w:gridCol w:w="100"/>
        <w:gridCol w:w="100"/>
        <w:gridCol w:w="100"/>
      </w:tblGrid>
      <w:tr>
        <w:trPr>
          <w:tblHeader/>
        </w:trPr>
        <w:tc>
          <w:tcPr>
            <w:tcW w:type="pct" w:w="22%"/>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Dimension</w:t>
            </w:r>
          </w:p>
        </w:tc>
        <w:tc>
          <w:tcPr>
            <w:tcW w:type="pct" w:w="39%"/>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Foreign commercial services</w:t>
            </w:r>
          </w:p>
        </w:tc>
        <w:tc>
          <w:tcPr>
            <w:tcW w:type="pct" w:w="39%"/>
            <w:shd w:fill="0F3460" w:color="auto" w:val="clear"/>
            <w:tcMar>
              <w:top w:type="dxa" w:w="70"/>
              <w:left w:type="dxa" w:w="110"/>
              <w:bottom w:type="dxa" w:w="70"/>
              <w:right w:type="dxa" w:w="110"/>
            </w:tcMar>
            <w:vAlign w:val="center"/>
          </w:tcPr>
          <w:p>
            <w:r>
              <w:rPr>
                <w:rFonts w:ascii="Calibri" w:cs="Calibri" w:eastAsia="Calibri" w:hAnsi="Calibri"/>
                <w:b/>
                <w:bCs/>
                <w:color w:val="FFFFFF"/>
                <w:sz w:val="19"/>
                <w:szCs w:val="19"/>
              </w:rPr>
              <w:t xml:space="preserve">SamAI (national platform)</w:t>
            </w:r>
          </w:p>
        </w:tc>
      </w:tr>
      <w:tr>
        <w:tc>
          <w:tcPr>
            <w:tcW w:type="pct" w:w="22%"/>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Ownership</w:t>
            </w:r>
          </w:p>
        </w:tc>
        <w:tc>
          <w:tcPr>
            <w:tcW w:type="pct" w:w="39%"/>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Vendor-owned, licensed</w:t>
            </w:r>
          </w:p>
        </w:tc>
        <w:tc>
          <w:tcPr>
            <w:tcW w:type="pct" w:w="39%"/>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State-owned asset</w:t>
            </w:r>
          </w:p>
        </w:tc>
      </w:tr>
      <w:tr>
        <w:tc>
          <w:tcPr>
            <w:tcW w:type="pct" w:w="22%"/>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Recurring cost</w:t>
            </w:r>
          </w:p>
        </w:tc>
        <w:tc>
          <w:tcPr>
            <w:tcW w:type="pct" w:w="39%"/>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Per-seat / per-use subscriptions, open-ended</w:t>
            </w:r>
          </w:p>
        </w:tc>
        <w:tc>
          <w:tcPr>
            <w:tcW w:type="pct" w:w="39%"/>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Controlled development investment; no per-seat rent</w:t>
            </w:r>
          </w:p>
        </w:tc>
      </w:tr>
      <w:tr>
        <w:tc>
          <w:tcPr>
            <w:tcW w:type="pct" w:w="22%"/>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Data sovereignty</w:t>
            </w:r>
          </w:p>
        </w:tc>
        <w:tc>
          <w:tcPr>
            <w:tcW w:type="pct" w:w="39%"/>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Data &amp; hosting under foreign control</w:t>
            </w:r>
          </w:p>
        </w:tc>
        <w:tc>
          <w:tcPr>
            <w:tcW w:type="pct" w:w="39%"/>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Qatari control; official Qatar AIP as source</w:t>
            </w:r>
          </w:p>
        </w:tc>
      </w:tr>
      <w:tr>
        <w:tc>
          <w:tcPr>
            <w:tcW w:type="pct" w:w="22%"/>
            <w:shd w:fill="EEF3F8" w:color="auto" w:val="clear"/>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Customisation</w:t>
            </w:r>
          </w:p>
        </w:tc>
        <w:tc>
          <w:tcPr>
            <w:tcW w:type="pct" w:w="39%"/>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Limited to vendor roadmap</w:t>
            </w:r>
          </w:p>
        </w:tc>
        <w:tc>
          <w:tcPr>
            <w:tcW w:type="pct" w:w="39%"/>
            <w:shd w:fill="EEF3F8" w:color="auto" w:val="clear"/>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Fully directed to national requirements</w:t>
            </w:r>
          </w:p>
        </w:tc>
      </w:tr>
      <w:tr>
        <w:tc>
          <w:tcPr>
            <w:tcW w:type="pct" w:w="22%"/>
            <w:tcMar>
              <w:top w:type="dxa" w:w="60"/>
              <w:left w:type="dxa" w:w="110"/>
              <w:bottom w:type="dxa" w:w="60"/>
              <w:right w:type="dxa" w:w="110"/>
            </w:tcMar>
            <w:vAlign w:val="center"/>
          </w:tcPr>
          <w:p>
            <w:pPr>
              <w:spacing w:after="0"/>
            </w:pPr>
            <w:r>
              <w:rPr>
                <w:rFonts w:ascii="Calibri" w:cs="Calibri" w:eastAsia="Calibri" w:hAnsi="Calibri"/>
                <w:b/>
                <w:bCs/>
                <w:color w:val="1A1A2E"/>
                <w:sz w:val="19"/>
                <w:szCs w:val="19"/>
              </w:rPr>
              <w:t xml:space="preserve">Expansion</w:t>
            </w:r>
          </w:p>
        </w:tc>
        <w:tc>
          <w:tcPr>
            <w:tcW w:type="pct" w:w="39%"/>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Additional licence cost</w:t>
            </w:r>
          </w:p>
        </w:tc>
        <w:tc>
          <w:tcPr>
            <w:tcW w:type="pct" w:w="39%"/>
            <w:tcMar>
              <w:top w:type="dxa" w:w="60"/>
              <w:left w:type="dxa" w:w="110"/>
              <w:bottom w:type="dxa" w:w="60"/>
              <w:right w:type="dxa" w:w="110"/>
            </w:tcMar>
            <w:vAlign w:val="center"/>
          </w:tcPr>
          <w:p>
            <w:pPr>
              <w:spacing w:after="0"/>
            </w:pPr>
            <w:r>
              <w:rPr>
                <w:rFonts w:ascii="Calibri" w:cs="Calibri" w:eastAsia="Calibri" w:hAnsi="Calibri"/>
                <w:b w:val="false"/>
                <w:bCs w:val="false"/>
                <w:color w:val="1A1A2E"/>
                <w:sz w:val="19"/>
                <w:szCs w:val="19"/>
              </w:rPr>
              <w:t xml:space="preserve">Extend once, use across all national users</w:t>
            </w:r>
          </w:p>
        </w:tc>
      </w:tr>
    </w:tbl>
    <w:p>
      <w:pPr>
        <w:spacing w:after="70"/>
      </w:pPr>
    </w:p>
    <w:p>
      <w:pPr>
        <w:pStyle w:val="Heading2"/>
        <w:spacing w:after="90" w:before="220"/>
      </w:pPr>
      <w:r>
        <w:rPr>
          <w:rFonts w:ascii="Calibri" w:cs="Calibri" w:eastAsia="Calibri" w:hAnsi="Calibri"/>
          <w:b/>
          <w:bCs/>
          <w:color w:val="1B4F72"/>
          <w:sz w:val="24"/>
          <w:szCs w:val="24"/>
        </w:rPr>
        <w:t xml:space="preserve">7.3  Regional expansion potential</w:t>
      </w:r>
    </w:p>
    <w:p>
      <w:pPr>
        <w:spacing w:after="140" w:line="276"/>
        <w:jc w:val="both"/>
      </w:pPr>
      <w:r>
        <w:rPr>
          <w:rFonts w:ascii="Calibri" w:cs="Calibri" w:eastAsia="Calibri" w:hAnsi="Calibri"/>
          <w:color w:val="1A1A2E"/>
          <w:sz w:val="21"/>
          <w:szCs w:val="21"/>
        </w:rPr>
        <w:t xml:space="preserve">SamAI's architecture is not specific to any single State. The same platform that synchronises Qatar's AIP airspace and fuses regional weather can be extended to other GCC states, positioning Qatar as the originator and custodian of a shared regional aviation-intelligence capability — a strategic, exportable national technology asset.</w:t>
      </w:r>
    </w:p>
    <w:p>
      <w:pPr>
        <w:pStyle w:val="Heading2"/>
        <w:spacing w:after="90" w:before="220"/>
      </w:pPr>
      <w:r>
        <w:rPr>
          <w:rFonts w:ascii="Calibri" w:cs="Calibri" w:eastAsia="Calibri" w:hAnsi="Calibri"/>
          <w:b/>
          <w:bCs/>
          <w:color w:val="1B4F72"/>
          <w:sz w:val="24"/>
          <w:szCs w:val="24"/>
        </w:rPr>
        <w:t xml:space="preserve">7.4  Alignment with Qatar National Vision 2030</w:t>
      </w:r>
    </w:p>
    <w:p>
      <w:pPr>
        <w:pStyle w:val="ListParagraph"/>
        <w:numPr>
          <w:ilvl w:val="0"/>
          <w:numId w:val="2"/>
        </w:numPr>
        <w:spacing w:after="70" w:line="268"/>
      </w:pPr>
      <w:r>
        <w:rPr>
          <w:rFonts w:ascii="Calibri" w:cs="Calibri" w:eastAsia="Calibri" w:hAnsi="Calibri"/>
          <w:b/>
          <w:bCs/>
          <w:color w:val="0F3460"/>
          <w:sz w:val="21"/>
          <w:szCs w:val="21"/>
        </w:rPr>
        <w:t xml:space="preserve">Human &amp; economic development. </w:t>
      </w:r>
      <w:r>
        <w:rPr>
          <w:rFonts w:ascii="Calibri" w:cs="Calibri" w:eastAsia="Calibri" w:hAnsi="Calibri"/>
          <w:color w:val="1A1A2E"/>
          <w:sz w:val="21"/>
          <w:szCs w:val="21"/>
        </w:rPr>
        <w:t xml:space="preserve">Building indigenous, high-value technology capability and reducing dependence on foreign vendors for critical national functions (Economic Development).</w:t>
      </w:r>
    </w:p>
    <w:p>
      <w:pPr>
        <w:pStyle w:val="ListParagraph"/>
        <w:numPr>
          <w:ilvl w:val="0"/>
          <w:numId w:val="2"/>
        </w:numPr>
        <w:spacing w:after="70" w:line="268"/>
      </w:pPr>
      <w:r>
        <w:rPr>
          <w:rFonts w:ascii="Calibri" w:cs="Calibri" w:eastAsia="Calibri" w:hAnsi="Calibri"/>
          <w:b/>
          <w:bCs/>
          <w:color w:val="0F3460"/>
          <w:sz w:val="21"/>
          <w:szCs w:val="21"/>
        </w:rPr>
        <w:t xml:space="preserve">Safety &amp; readiness. </w:t>
      </w:r>
      <w:r>
        <w:rPr>
          <w:rFonts w:ascii="Calibri" w:cs="Calibri" w:eastAsia="Calibri" w:hAnsi="Calibri"/>
          <w:color w:val="1A1A2E"/>
          <w:sz w:val="21"/>
          <w:szCs w:val="21"/>
        </w:rPr>
        <w:t xml:space="preserve">Strengthening aviation safety and national operational readiness in a strategically vital sector.</w:t>
      </w:r>
    </w:p>
    <w:p>
      <w:pPr>
        <w:pStyle w:val="ListParagraph"/>
        <w:numPr>
          <w:ilvl w:val="0"/>
          <w:numId w:val="2"/>
        </w:numPr>
        <w:spacing w:after="70" w:line="268"/>
      </w:pPr>
      <w:r>
        <w:rPr>
          <w:rFonts w:ascii="Calibri" w:cs="Calibri" w:eastAsia="Calibri" w:hAnsi="Calibri"/>
          <w:b/>
          <w:bCs/>
          <w:color w:val="0F3460"/>
          <w:sz w:val="21"/>
          <w:szCs w:val="21"/>
        </w:rPr>
        <w:t xml:space="preserve">Regional leadership. </w:t>
      </w:r>
      <w:r>
        <w:rPr>
          <w:rFonts w:ascii="Calibri" w:cs="Calibri" w:eastAsia="Calibri" w:hAnsi="Calibri"/>
          <w:color w:val="1A1A2E"/>
          <w:sz w:val="21"/>
          <w:szCs w:val="21"/>
        </w:rPr>
        <w:t xml:space="preserve">Creating a sovereign, exportable platform with regional leadership potential.</w:t>
      </w:r>
    </w:p>
    <w:p>
      <w:pPr>
        <w:spacing w:after="70"/>
      </w:pPr>
    </w:p>
    <w:tbl>
      <w:tblPr>
        <w:tblW w:type="pct" w:w="100%"/>
        <w:tblBorders>
          <w:top w:val="single" w:color="0F3460" w:sz="2"/>
          <w:left w:val="single" w:color="8ECAE6" w:sz="18"/>
          <w:bottom w:val="single" w:color="0F3460" w:sz="2"/>
          <w:right w:val="single" w:color="0F3460" w:sz="2"/>
          <w:insideH w:val="none"/>
          <w:insideV w:val="none"/>
        </w:tblBorders>
      </w:tblPr>
      <w:tblGrid>
        <w:gridCol w:w="100"/>
      </w:tblGrid>
      <w:tr>
        <w:tc>
          <w:tcPr>
            <w:shd w:fill="EEF3F8" w:color="auto" w:val="clear"/>
            <w:tcMar>
              <w:top w:type="dxa" w:w="120"/>
              <w:left w:type="dxa" w:w="160"/>
              <w:bottom w:type="dxa" w:w="120"/>
              <w:right w:type="dxa" w:w="160"/>
            </w:tcMar>
          </w:tcPr>
          <w:p>
            <w:pPr>
              <w:spacing w:after="60"/>
            </w:pPr>
            <w:r>
              <w:rPr>
                <w:rFonts w:ascii="Calibri" w:cs="Calibri" w:eastAsia="Calibri" w:hAnsi="Calibri"/>
                <w:b/>
                <w:bCs/>
                <w:caps/>
                <w:color w:val="0F3460"/>
                <w:sz w:val="21"/>
                <w:szCs w:val="21"/>
              </w:rPr>
              <w:t xml:space="preserve">The investment proposition</w:t>
            </w:r>
          </w:p>
          <w:p>
            <w:r>
              <w:rPr>
                <w:rFonts w:ascii="Calibri" w:cs="Calibri" w:eastAsia="Calibri" w:hAnsi="Calibri"/>
                <w:color w:val="1A1A2E"/>
                <w:sz w:val="21"/>
                <w:szCs w:val="21"/>
              </w:rPr>
              <w:t xml:space="preserve">For a controlled, one-time-and-incremental national investment, Qatar secures a sovereign, permanent, expandable aviation-intelligence platform — improving safety and readiness today, eliminating open-ended foreign subscription cost, and creating a regionally exportable asset. Phase 1 has already de-risked the concept by delivering a working system.</w:t>
            </w:r>
          </w:p>
        </w:tc>
      </w:tr>
    </w:tbl>
    <w:p>
      <w:r>
        <w:br w:type="page"/>
      </w:r>
    </w:p>
    <w:p>
      <w:pPr>
        <w:pStyle w:val="Heading1"/>
        <w:pBdr>
          <w:bottom w:val="single" w:color="0F3460" w:sz="12" w:space="4"/>
        </w:pBdr>
        <w:spacing w:after="120" w:before="320"/>
      </w:pPr>
      <w:r>
        <w:rPr>
          <w:rFonts w:ascii="Calibri" w:cs="Calibri" w:eastAsia="Calibri" w:hAnsi="Calibri"/>
          <w:b/>
          <w:bCs/>
          <w:color w:val="8ECAE6"/>
          <w:sz w:val="30"/>
          <w:szCs w:val="30"/>
        </w:rPr>
        <w:t xml:space="preserve">8.  </w:t>
      </w:r>
      <w:r>
        <w:rPr>
          <w:rFonts w:ascii="Calibri" w:cs="Calibri" w:eastAsia="Calibri" w:hAnsi="Calibri"/>
          <w:b/>
          <w:bCs/>
          <w:color w:val="0F3460"/>
          <w:sz w:val="30"/>
          <w:szCs w:val="30"/>
        </w:rPr>
        <w:t xml:space="preserve">Conclusion</w:t>
      </w:r>
    </w:p>
    <w:p>
      <w:pPr>
        <w:spacing w:after="140" w:line="276"/>
        <w:jc w:val="both"/>
      </w:pPr>
      <w:r>
        <w:rPr>
          <w:rFonts w:ascii="Calibri" w:cs="Calibri" w:eastAsia="Calibri" w:hAnsi="Calibri"/>
          <w:color w:val="1A1A2E"/>
          <w:sz w:val="21"/>
          <w:szCs w:val="21"/>
        </w:rPr>
        <w:t xml:space="preserve">SamAI has already proven itself. In Phase 1 it has delivered a working, sovereign, multi-airfield aviation weather and airspace briefing platform — fusing live METAR, TAF, SIGMET, NOTAM, official Qatar AIP airspace, and upper-wind data into a single, continuously current operational picture, secured behind role-based access and accessible from any browser.</w:t>
      </w:r>
    </w:p>
    <w:p>
      <w:pPr>
        <w:spacing w:after="140" w:line="276"/>
        <w:jc w:val="both"/>
      </w:pPr>
      <w:r>
        <w:rPr>
          <w:rFonts w:ascii="Calibri" w:cs="Calibri" w:eastAsia="Calibri" w:hAnsi="Calibri"/>
          <w:color w:val="1A1A2E"/>
          <w:sz w:val="21"/>
          <w:szCs w:val="21"/>
        </w:rPr>
        <w:t xml:space="preserve">The operational case is clear: faster decisions, fewer errors, a shared common operating picture across Qatar's principal military and civil airfields, and stronger contingency planning. The strategic case is equally clear: a Qatar-owned capability that ends dependence on foreign commercial services, offers a decisive cost advantage, holds genuine regional-expansion potential, and advances the Qatar National Vision 2030.</w:t>
      </w:r>
    </w:p>
    <w:p>
      <w:pPr>
        <w:spacing w:after="140" w:line="276"/>
        <w:jc w:val="both"/>
      </w:pPr>
      <w:r>
        <w:rPr>
          <w:rFonts w:ascii="Calibri" w:cs="Calibri" w:eastAsia="Calibri" w:hAnsi="Calibri"/>
          <w:color w:val="1A1A2E"/>
          <w:sz w:val="21"/>
          <w:szCs w:val="21"/>
        </w:rPr>
        <w:t xml:space="preserve">What has been achieved so far is Phase 1 — a foundation, not a finished destination. The roadmap ahead — an AI Weather Interpreter, a mobile progressive web app, Arabic language support, proactive alerting, route-based weather, deeper airspace representation, and more — will elevate SamAI from a briefing console into a comprehensive national aviation-intelligence platform. That trajectory is defined, deliverable, and ready to be resourced.</w:t>
      </w:r>
    </w:p>
    <w:p>
      <w:pPr>
        <w:spacing w:after="60"/>
      </w:pPr>
    </w:p>
    <w:tbl>
      <w:tblPr>
        <w:tblW w:type="pct" w:w="100%"/>
        <w:tblBorders>
          <w:top w:val="single" w:color="0F3460" w:sz="2"/>
          <w:left w:val="single" w:color="8ECAE6" w:sz="18"/>
          <w:bottom w:val="single" w:color="0F3460" w:sz="2"/>
          <w:right w:val="single" w:color="0F3460" w:sz="2"/>
          <w:insideH w:val="none"/>
          <w:insideV w:val="none"/>
        </w:tblBorders>
      </w:tblPr>
      <w:tblGrid>
        <w:gridCol w:w="100"/>
      </w:tblGrid>
      <w:tr>
        <w:tc>
          <w:tcPr>
            <w:shd w:fill="EEF3F8" w:color="auto" w:val="clear"/>
            <w:tcMar>
              <w:top w:type="dxa" w:w="120"/>
              <w:left w:type="dxa" w:w="160"/>
              <w:bottom w:type="dxa" w:w="120"/>
              <w:right w:type="dxa" w:w="160"/>
            </w:tcMar>
          </w:tcPr>
          <w:p>
            <w:pPr>
              <w:spacing w:after="60"/>
            </w:pPr>
            <w:r>
              <w:rPr>
                <w:rFonts w:ascii="Calibri" w:cs="Calibri" w:eastAsia="Calibri" w:hAnsi="Calibri"/>
                <w:b/>
                <w:bCs/>
                <w:caps/>
                <w:color w:val="0F3460"/>
                <w:sz w:val="21"/>
                <w:szCs w:val="21"/>
              </w:rPr>
              <w:t xml:space="preserve">Recommendation</w:t>
            </w:r>
          </w:p>
          <w:p>
            <w:r>
              <w:rPr>
                <w:rFonts w:ascii="Calibri" w:cs="Calibri" w:eastAsia="Calibri" w:hAnsi="Calibri"/>
                <w:color w:val="1A1A2E"/>
                <w:sz w:val="21"/>
                <w:szCs w:val="21"/>
              </w:rPr>
              <w:t xml:space="preserve">We respectfully request the continued support, endorsement, and development resources needed to carry SamAI beyond Phase 1. The concept is proven, the foundation is operational, and the return — in aviation safety, operational readiness, sovereignty, and cost — is substantial and enduring.</w:t>
            </w:r>
          </w:p>
        </w:tc>
      </w:tr>
    </w:tbl>
    <w:p>
      <w:pPr>
        <w:spacing w:after="120"/>
      </w:pPr>
    </w:p>
    <w:p>
      <w:pPr>
        <w:pBdr>
          <w:top w:val="single" w:color="0F3460" w:sz="12" w:space="8"/>
        </w:pBdr>
        <w:spacing w:before="240"/>
        <w:jc w:val="center"/>
      </w:pPr>
      <w:r>
        <w:rPr>
          <w:rFonts w:ascii="Calibri" w:cs="Calibri" w:eastAsia="Calibri" w:hAnsi="Calibri"/>
          <w:b/>
          <w:bCs/>
          <w:color w:val="0F3460"/>
          <w:sz w:val="22"/>
          <w:szCs w:val="22"/>
        </w:rPr>
        <w:t xml:space="preserve">SamAI — Qatar Aviation Weather Intelligence Platform</w:t>
      </w:r>
    </w:p>
    <w:p>
      <w:pPr>
        <w:jc w:val="center"/>
      </w:pPr>
      <w:r>
        <w:rPr>
          <w:rFonts w:ascii="Calibri" w:cs="Calibri" w:eastAsia="Calibri" w:hAnsi="Calibri"/>
          <w:i/>
          <w:iCs/>
          <w:color w:val="5A6472"/>
          <w:sz w:val="18"/>
          <w:szCs w:val="18"/>
        </w:rPr>
        <w:t xml:space="preserve">Phase 1 Capability &amp; Investment Report</w:t>
      </w:r>
    </w:p>
    <w:sectPr>
      <w:headerReference w:type="default" r:id="rId7"/>
      <w:footerReference w:type="default" r:id="rId8"/>
      <w:pgSz w:w="11906" w:h="16838" w:orient="portrait"/>
      <w:pgMar w:top="1180" w:right="1240" w:bottom="1180" w:left="12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EBECF" w:sz="4" w:space="2"/>
      </w:pBdr>
      <w:tabs>
        <w:tab w:val="right" w:pos="9026"/>
      </w:tabs>
    </w:pPr>
    <w:r>
      <w:rPr>
        <w:rFonts w:ascii="Calibri" w:cs="Calibri" w:eastAsia="Calibri" w:hAnsi="Calibri"/>
        <w:color w:val="5A6472"/>
        <w:sz w:val="15"/>
        <w:szCs w:val="15"/>
      </w:rPr>
      <w:t xml:space="preserve">Qatar Aviation Weather Briefing — Capability Report</w:t>
    </w:r>
    <w:r>
      <w:rPr>
        <w:rFonts w:ascii="Calibri" w:cs="Calibri" w:eastAsia="Calibri" w:hAnsi="Calibri"/>
        <w:color w:val="5A6472"/>
        <w:sz w:val="15"/>
        <w:szCs w:val="15"/>
      </w:rPr>
      <w:t xml:space="preserve">	Page </w:t>
    </w:r>
    <w:r>
      <w:rPr>
        <w:rFonts w:ascii="Calibri" w:cs="Calibri" w:eastAsia="Calibri" w:hAnsi="Calibri"/>
        <w:color w:val="5A6472"/>
        <w:sz w:val="15"/>
        <w:szCs w:val="15"/>
      </w:rPr>
      <w:fldChar w:fldCharType="begin"/>
      <w:instrText xml:space="preserve">PAGE</w:instrText>
      <w:fldChar w:fldCharType="separate"/>
      <w:fldChar w:fldCharType="end"/>
    </w:r>
    <w:r>
      <w:rPr>
        <w:rFonts w:ascii="Calibri" w:cs="Calibri" w:eastAsia="Calibri" w:hAnsi="Calibri"/>
        <w:color w:val="5A6472"/>
        <w:sz w:val="15"/>
        <w:szCs w:val="15"/>
      </w:rPr>
      <w:t xml:space="preserve"> of </w:t>
    </w:r>
    <w:r>
      <w:rPr>
        <w:rFonts w:ascii="Calibri" w:cs="Calibri" w:eastAsia="Calibri" w:hAnsi="Calibri"/>
        <w:color w:val="5A6472"/>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EBECF" w:sz="4" w:space="2"/>
      </w:pBdr>
      <w:tabs>
        <w:tab w:val="right" w:pos="9026"/>
      </w:tabs>
    </w:pPr>
    <w:r>
      <w:rPr>
        <w:rFonts w:ascii="Calibri" w:cs="Calibri" w:eastAsia="Calibri" w:hAnsi="Calibri"/>
        <w:b/>
        <w:bCs/>
        <w:color w:val="0F3460"/>
        <w:sz w:val="16"/>
        <w:szCs w:val="16"/>
      </w:rPr>
      <w:t xml:space="preserve">SamAI</w:t>
    </w:r>
    <w:r>
      <w:rPr>
        <w:rFonts w:ascii="Calibri" w:cs="Calibri" w:eastAsia="Calibri" w:hAnsi="Calibri"/>
        <w:color w:val="5A6472"/>
        <w:sz w:val="16"/>
        <w:szCs w:val="16"/>
      </w:rPr>
      <w:t xml:space="preserve">  ·  Qatar Aviation Weather Intelligence Platform</w:t>
    </w:r>
    <w:r>
      <w:rPr>
        <w:rFonts w:ascii="Calibri" w:cs="Calibri" w:eastAsia="Calibri" w:hAnsi="Calibri"/>
        <w:color w:val="5A6472"/>
        <w:sz w:val="15"/>
        <w:szCs w:val="15"/>
      </w:rPr>
      <w:t xml:space="preserve">	Phase 1 — Sensitive / For Official Use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0F346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2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SamAI — Qatar Aviation Weather Intelligence Platform — Phase 1 Report</dc:title>
  <dc:creator>SamAI Programme</dc:creator>
  <dc:description>Phase 1 Capability &amp; Investment Report</dc:description>
  <cp:lastModifiedBy>Un-named</cp:lastModifiedBy>
  <cp:revision>1</cp:revision>
  <dcterms:created xsi:type="dcterms:W3CDTF">2026-07-03T16:48:42.138Z</dcterms:created>
  <dcterms:modified xsi:type="dcterms:W3CDTF">2026-07-03T16:48:42.138Z</dcterms:modified>
</cp:coreProperties>
</file>

<file path=docProps/custom.xml><?xml version="1.0" encoding="utf-8"?>
<Properties xmlns="http://schemas.openxmlformats.org/officeDocument/2006/custom-properties" xmlns:vt="http://schemas.openxmlformats.org/officeDocument/2006/docPropsVTypes"/>
</file>